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7BC6" w14:textId="5B24FF10" w:rsidR="00DF6B31" w:rsidRPr="00FE1D9A" w:rsidRDefault="00DF6B31" w:rsidP="00DF6B31">
      <w:pPr>
        <w:jc w:val="center"/>
        <w:rPr>
          <w:rStyle w:val="nfasis"/>
          <w:rFonts w:ascii="Arial" w:hAnsi="Arial" w:cs="Arial"/>
          <w:b/>
          <w:bCs/>
          <w:i w:val="0"/>
          <w:iCs w:val="0"/>
          <w:sz w:val="24"/>
          <w:szCs w:val="24"/>
          <w:lang w:val="es-ES"/>
        </w:rPr>
      </w:pPr>
      <w:r w:rsidRPr="00FE1D9A">
        <w:rPr>
          <w:rStyle w:val="nfasis"/>
          <w:rFonts w:ascii="Arial" w:hAnsi="Arial" w:cs="Arial"/>
          <w:b/>
          <w:bCs/>
          <w:i w:val="0"/>
          <w:iCs w:val="0"/>
          <w:sz w:val="24"/>
          <w:szCs w:val="24"/>
          <w:lang w:val="es-ES"/>
        </w:rPr>
        <w:t xml:space="preserve">CIRCULAR EXTERNA  </w:t>
      </w:r>
      <w:proofErr w:type="gramStart"/>
      <w:r w:rsidR="005A0562">
        <w:rPr>
          <w:rStyle w:val="nfasis"/>
          <w:rFonts w:ascii="Arial" w:hAnsi="Arial" w:cs="Arial"/>
          <w:b/>
          <w:bCs/>
          <w:i w:val="0"/>
          <w:iCs w:val="0"/>
          <w:sz w:val="24"/>
          <w:szCs w:val="24"/>
          <w:lang w:val="es-ES"/>
        </w:rPr>
        <w:t>012</w:t>
      </w:r>
      <w:r w:rsidRPr="00FE1D9A">
        <w:rPr>
          <w:rStyle w:val="nfasis"/>
          <w:rFonts w:ascii="Arial" w:hAnsi="Arial" w:cs="Arial"/>
          <w:b/>
          <w:bCs/>
          <w:i w:val="0"/>
          <w:iCs w:val="0"/>
          <w:sz w:val="24"/>
          <w:szCs w:val="24"/>
          <w:lang w:val="es-ES"/>
        </w:rPr>
        <w:t xml:space="preserve"> </w:t>
      </w:r>
      <w:r w:rsidR="005A0562">
        <w:rPr>
          <w:rStyle w:val="nfasis"/>
          <w:rFonts w:ascii="Arial" w:hAnsi="Arial" w:cs="Arial"/>
          <w:b/>
          <w:bCs/>
          <w:i w:val="0"/>
          <w:iCs w:val="0"/>
          <w:sz w:val="24"/>
          <w:szCs w:val="24"/>
          <w:lang w:val="es-ES"/>
        </w:rPr>
        <w:t xml:space="preserve"> </w:t>
      </w:r>
      <w:r w:rsidRPr="00FE1D9A">
        <w:rPr>
          <w:rStyle w:val="nfasis"/>
          <w:rFonts w:ascii="Arial" w:hAnsi="Arial" w:cs="Arial"/>
          <w:b/>
          <w:bCs/>
          <w:i w:val="0"/>
          <w:iCs w:val="0"/>
          <w:sz w:val="24"/>
          <w:szCs w:val="24"/>
          <w:lang w:val="es-ES"/>
        </w:rPr>
        <w:t>DE</w:t>
      </w:r>
      <w:proofErr w:type="gramEnd"/>
      <w:r w:rsidRPr="00FE1D9A">
        <w:rPr>
          <w:rStyle w:val="nfasis"/>
          <w:rFonts w:ascii="Arial" w:hAnsi="Arial" w:cs="Arial"/>
          <w:b/>
          <w:bCs/>
          <w:i w:val="0"/>
          <w:iCs w:val="0"/>
          <w:sz w:val="24"/>
          <w:szCs w:val="24"/>
          <w:lang w:val="es-ES"/>
        </w:rPr>
        <w:t xml:space="preserve"> 2022</w:t>
      </w:r>
    </w:p>
    <w:p w14:paraId="276A68FC" w14:textId="7465250A" w:rsidR="00DF6B31" w:rsidRPr="00FE1D9A" w:rsidRDefault="00DF6B31" w:rsidP="00DF6B31">
      <w:pPr>
        <w:jc w:val="center"/>
        <w:rPr>
          <w:rStyle w:val="nfasis"/>
          <w:rFonts w:ascii="Arial" w:hAnsi="Arial" w:cs="Arial"/>
          <w:b/>
          <w:i w:val="0"/>
          <w:iCs w:val="0"/>
          <w:sz w:val="24"/>
          <w:szCs w:val="24"/>
          <w:lang w:val="es-ES"/>
        </w:rPr>
      </w:pPr>
      <w:proofErr w:type="gramStart"/>
      <w:r w:rsidRPr="00FE1D9A">
        <w:rPr>
          <w:rStyle w:val="nfasis"/>
          <w:rFonts w:ascii="Arial" w:hAnsi="Arial" w:cs="Arial"/>
          <w:b/>
          <w:i w:val="0"/>
          <w:iCs w:val="0"/>
          <w:sz w:val="24"/>
          <w:szCs w:val="24"/>
          <w:lang w:val="es-ES"/>
        </w:rPr>
        <w:t xml:space="preserve">(  </w:t>
      </w:r>
      <w:r w:rsidR="005A0562">
        <w:rPr>
          <w:rStyle w:val="nfasis"/>
          <w:rFonts w:ascii="Arial" w:hAnsi="Arial" w:cs="Arial"/>
          <w:b/>
          <w:i w:val="0"/>
          <w:iCs w:val="0"/>
          <w:sz w:val="24"/>
          <w:szCs w:val="24"/>
          <w:lang w:val="es-ES"/>
        </w:rPr>
        <w:t>Mayo</w:t>
      </w:r>
      <w:proofErr w:type="gramEnd"/>
      <w:r w:rsidR="005A0562">
        <w:rPr>
          <w:rStyle w:val="nfasis"/>
          <w:rFonts w:ascii="Arial" w:hAnsi="Arial" w:cs="Arial"/>
          <w:b/>
          <w:i w:val="0"/>
          <w:iCs w:val="0"/>
          <w:sz w:val="24"/>
          <w:szCs w:val="24"/>
          <w:lang w:val="es-ES"/>
        </w:rPr>
        <w:t xml:space="preserve"> 27 </w:t>
      </w:r>
      <w:r w:rsidRPr="00FE1D9A">
        <w:rPr>
          <w:rStyle w:val="nfasis"/>
          <w:rFonts w:ascii="Arial" w:hAnsi="Arial" w:cs="Arial"/>
          <w:b/>
          <w:i w:val="0"/>
          <w:iCs w:val="0"/>
          <w:sz w:val="24"/>
          <w:szCs w:val="24"/>
          <w:lang w:val="es-ES"/>
        </w:rPr>
        <w:t>)</w:t>
      </w:r>
    </w:p>
    <w:p w14:paraId="384A59B3" w14:textId="77777777" w:rsidR="00DF6B31" w:rsidRPr="00FE1D9A" w:rsidRDefault="00DF6B31" w:rsidP="00DF6B31">
      <w:pPr>
        <w:jc w:val="both"/>
        <w:rPr>
          <w:rStyle w:val="nfasis"/>
          <w:rFonts w:ascii="Arial" w:hAnsi="Arial" w:cs="Arial"/>
          <w:b/>
          <w:i w:val="0"/>
          <w:iCs w:val="0"/>
          <w:sz w:val="24"/>
          <w:szCs w:val="24"/>
          <w:lang w:val="es-ES"/>
        </w:rPr>
      </w:pPr>
    </w:p>
    <w:p w14:paraId="175FECD0" w14:textId="77777777" w:rsidR="00DF6B31" w:rsidRPr="00FE1D9A" w:rsidRDefault="00DF6B31" w:rsidP="00DF6B31">
      <w:pPr>
        <w:jc w:val="both"/>
        <w:rPr>
          <w:rStyle w:val="nfasis"/>
          <w:rFonts w:ascii="Arial" w:hAnsi="Arial" w:cs="Arial"/>
          <w:b/>
          <w:i w:val="0"/>
          <w:iCs w:val="0"/>
          <w:sz w:val="24"/>
          <w:szCs w:val="24"/>
          <w:lang w:val="es-ES"/>
        </w:rPr>
      </w:pPr>
    </w:p>
    <w:p w14:paraId="560CB7A9" w14:textId="77777777" w:rsidR="00DF6B31" w:rsidRPr="00FE1D9A" w:rsidRDefault="00DF6B31" w:rsidP="00DF6B31">
      <w:pPr>
        <w:jc w:val="both"/>
        <w:rPr>
          <w:rStyle w:val="nfasis"/>
          <w:rFonts w:ascii="Arial" w:hAnsi="Arial" w:cs="Arial"/>
          <w:b/>
          <w:i w:val="0"/>
          <w:iCs w:val="0"/>
          <w:sz w:val="24"/>
          <w:szCs w:val="24"/>
          <w:lang w:val="es-ES"/>
        </w:rPr>
      </w:pPr>
      <w:r w:rsidRPr="00FE1D9A">
        <w:rPr>
          <w:rStyle w:val="nfasis"/>
          <w:rFonts w:ascii="Arial" w:hAnsi="Arial" w:cs="Arial"/>
          <w:b/>
          <w:i w:val="0"/>
          <w:iCs w:val="0"/>
          <w:sz w:val="24"/>
          <w:szCs w:val="24"/>
          <w:lang w:val="es-ES"/>
        </w:rPr>
        <w:t>Señores</w:t>
      </w:r>
    </w:p>
    <w:p w14:paraId="40EEAEE7" w14:textId="77777777" w:rsidR="00DF6B31" w:rsidRPr="00FE1D9A" w:rsidRDefault="00DF6B31" w:rsidP="00DF6B31">
      <w:pPr>
        <w:jc w:val="both"/>
      </w:pPr>
      <w:r w:rsidRPr="00FE1D9A">
        <w:rPr>
          <w:rFonts w:ascii="Arial" w:hAnsi="Arial" w:cs="Arial"/>
          <w:sz w:val="24"/>
          <w:szCs w:val="24"/>
          <w:lang w:val="es-ES"/>
        </w:rPr>
        <w:t>REPRESENTANTES LEGALES Y REVISORES FISCALES DE LOS EMISORES</w:t>
      </w:r>
    </w:p>
    <w:p w14:paraId="1FB8ABF6" w14:textId="77777777" w:rsidR="00DF6B31" w:rsidRPr="00FE1D9A" w:rsidRDefault="00DF6B31" w:rsidP="00DF6B31">
      <w:pPr>
        <w:jc w:val="both"/>
        <w:rPr>
          <w:rStyle w:val="nfasis"/>
          <w:rFonts w:ascii="Arial" w:hAnsi="Arial" w:cs="Arial"/>
          <w:b/>
          <w:i w:val="0"/>
          <w:iCs w:val="0"/>
          <w:sz w:val="24"/>
          <w:szCs w:val="24"/>
          <w:lang w:val="es-ES"/>
        </w:rPr>
      </w:pPr>
    </w:p>
    <w:p w14:paraId="0AA9C041" w14:textId="77777777" w:rsidR="00DF6B31" w:rsidRPr="00FE1D9A" w:rsidRDefault="00DF6B31" w:rsidP="00DF6B31">
      <w:pPr>
        <w:jc w:val="both"/>
        <w:rPr>
          <w:rStyle w:val="nfasis"/>
          <w:rFonts w:ascii="Arial" w:hAnsi="Arial" w:cs="Arial"/>
          <w:b/>
          <w:i w:val="0"/>
          <w:iCs w:val="0"/>
          <w:sz w:val="24"/>
          <w:szCs w:val="24"/>
          <w:lang w:val="es-ES"/>
        </w:rPr>
      </w:pPr>
    </w:p>
    <w:p w14:paraId="2D4146D2" w14:textId="0F1C9C8E" w:rsidR="00DF6B31" w:rsidRPr="00FE1D9A" w:rsidRDefault="00DF6B31" w:rsidP="00DF6B31">
      <w:pPr>
        <w:jc w:val="both"/>
        <w:rPr>
          <w:rStyle w:val="nfasis"/>
          <w:rFonts w:ascii="Arial" w:hAnsi="Arial" w:cs="Arial"/>
          <w:i w:val="0"/>
          <w:iCs w:val="0"/>
          <w:sz w:val="24"/>
          <w:szCs w:val="24"/>
        </w:rPr>
      </w:pPr>
      <w:r w:rsidRPr="00FE1D9A">
        <w:rPr>
          <w:rStyle w:val="nfasis"/>
          <w:rFonts w:ascii="Arial" w:hAnsi="Arial" w:cs="Arial"/>
          <w:b/>
          <w:i w:val="0"/>
          <w:iCs w:val="0"/>
          <w:sz w:val="24"/>
          <w:szCs w:val="24"/>
          <w:lang w:val="es-ES"/>
        </w:rPr>
        <w:t xml:space="preserve">Referencia: </w:t>
      </w:r>
      <w:r w:rsidR="00C70BB1">
        <w:rPr>
          <w:rStyle w:val="nfasis"/>
          <w:rFonts w:ascii="Arial" w:hAnsi="Arial" w:cs="Arial"/>
          <w:b/>
          <w:i w:val="0"/>
          <w:iCs w:val="0"/>
          <w:sz w:val="24"/>
          <w:szCs w:val="24"/>
          <w:lang w:val="es-ES"/>
        </w:rPr>
        <w:t>I</w:t>
      </w:r>
      <w:r w:rsidRPr="00FE1D9A">
        <w:rPr>
          <w:rStyle w:val="nfasis"/>
          <w:rFonts w:ascii="Arial" w:hAnsi="Arial" w:cs="Arial"/>
          <w:b/>
          <w:i w:val="0"/>
          <w:iCs w:val="0"/>
          <w:sz w:val="24"/>
          <w:szCs w:val="24"/>
          <w:lang w:val="es-ES"/>
        </w:rPr>
        <w:t>nstrucciones relacionadas con el informe periódico de fin de ejercicio y el informe periódico trimestral</w:t>
      </w:r>
    </w:p>
    <w:p w14:paraId="3C46AB86" w14:textId="77777777" w:rsidR="00DF6B31" w:rsidRPr="00FE1D9A" w:rsidRDefault="00DF6B31" w:rsidP="00DF6B31">
      <w:pPr>
        <w:jc w:val="both"/>
        <w:rPr>
          <w:rStyle w:val="nfasis"/>
          <w:rFonts w:ascii="Arial" w:hAnsi="Arial" w:cs="Arial"/>
          <w:i w:val="0"/>
          <w:iCs w:val="0"/>
          <w:sz w:val="24"/>
          <w:szCs w:val="24"/>
        </w:rPr>
      </w:pPr>
    </w:p>
    <w:p w14:paraId="7E2F0739" w14:textId="77777777" w:rsidR="00DF6B31" w:rsidRPr="00FE1D9A" w:rsidRDefault="00DF6B31" w:rsidP="00DF6B31">
      <w:pPr>
        <w:jc w:val="both"/>
        <w:rPr>
          <w:rStyle w:val="nfasis"/>
          <w:rFonts w:ascii="Arial" w:hAnsi="Arial" w:cs="Arial"/>
          <w:i w:val="0"/>
          <w:iCs w:val="0"/>
          <w:sz w:val="24"/>
          <w:szCs w:val="24"/>
          <w:lang w:val="es-ES"/>
        </w:rPr>
      </w:pPr>
      <w:r w:rsidRPr="00FE1D9A">
        <w:rPr>
          <w:rStyle w:val="nfasis"/>
          <w:rFonts w:ascii="Arial" w:hAnsi="Arial" w:cs="Arial"/>
          <w:i w:val="0"/>
          <w:iCs w:val="0"/>
          <w:sz w:val="24"/>
          <w:szCs w:val="24"/>
          <w:lang w:val="es-ES"/>
        </w:rPr>
        <w:t>Apreciados señores:</w:t>
      </w:r>
    </w:p>
    <w:p w14:paraId="25E19CA3" w14:textId="77777777" w:rsidR="00DF6B31" w:rsidRPr="00FE1D9A" w:rsidRDefault="00DF6B31" w:rsidP="00DF6B31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A7199C4" w14:textId="593BFCCF" w:rsidR="00F30C35" w:rsidRPr="00B270FC" w:rsidRDefault="00F30C35" w:rsidP="00DF6B31">
      <w:pPr>
        <w:jc w:val="both"/>
        <w:rPr>
          <w:rStyle w:val="nfasis"/>
          <w:rFonts w:ascii="Arial" w:hAnsi="Arial" w:cs="Arial"/>
          <w:i w:val="0"/>
          <w:iCs w:val="0"/>
          <w:sz w:val="24"/>
          <w:szCs w:val="24"/>
        </w:rPr>
      </w:pPr>
      <w:r w:rsidRPr="00B270FC">
        <w:rPr>
          <w:rStyle w:val="nfasis"/>
          <w:rFonts w:ascii="Arial" w:hAnsi="Arial" w:cs="Arial"/>
          <w:i w:val="0"/>
          <w:iCs w:val="0"/>
          <w:sz w:val="24"/>
          <w:szCs w:val="24"/>
        </w:rPr>
        <w:t>Como es de su conocimiento, el Decreto 151 de 2021, incorporado en el Decreto 2555 de 2010, modificó integralmente el marco de revelación de información periódica y relevante de los emisores</w:t>
      </w:r>
      <w:r w:rsidR="000429E3">
        <w:rPr>
          <w:rStyle w:val="nfasis"/>
          <w:rFonts w:ascii="Arial" w:hAnsi="Arial" w:cs="Arial"/>
          <w:i w:val="0"/>
          <w:iCs w:val="0"/>
          <w:sz w:val="24"/>
          <w:szCs w:val="24"/>
        </w:rPr>
        <w:t xml:space="preserve">, y </w:t>
      </w:r>
      <w:r w:rsidR="00F03AAC">
        <w:rPr>
          <w:rStyle w:val="nfasis"/>
          <w:rFonts w:ascii="Arial" w:hAnsi="Arial" w:cs="Arial"/>
          <w:i w:val="0"/>
          <w:iCs w:val="0"/>
          <w:sz w:val="24"/>
          <w:szCs w:val="24"/>
        </w:rPr>
        <w:t>facultó</w:t>
      </w:r>
      <w:r w:rsidRPr="00B270FC">
        <w:rPr>
          <w:rStyle w:val="nfasis"/>
          <w:rFonts w:ascii="Arial" w:hAnsi="Arial" w:cs="Arial"/>
          <w:i w:val="0"/>
          <w:iCs w:val="0"/>
          <w:sz w:val="24"/>
          <w:szCs w:val="24"/>
        </w:rPr>
        <w:t xml:space="preserve"> a </w:t>
      </w:r>
      <w:r w:rsidR="00FD7BA8">
        <w:rPr>
          <w:rStyle w:val="nfasis"/>
          <w:rFonts w:ascii="Arial" w:hAnsi="Arial" w:cs="Arial"/>
          <w:i w:val="0"/>
          <w:iCs w:val="0"/>
          <w:sz w:val="24"/>
          <w:szCs w:val="24"/>
        </w:rPr>
        <w:t>la</w:t>
      </w:r>
      <w:r w:rsidR="00FD7BA8" w:rsidRPr="00B270FC">
        <w:rPr>
          <w:rStyle w:val="nf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FD7BA8">
        <w:rPr>
          <w:rStyle w:val="nfasis"/>
          <w:rFonts w:ascii="Arial" w:hAnsi="Arial" w:cs="Arial"/>
          <w:i w:val="0"/>
          <w:iCs w:val="0"/>
          <w:sz w:val="24"/>
          <w:szCs w:val="24"/>
        </w:rPr>
        <w:t>Superintendencia Financiera de Colombia</w:t>
      </w:r>
      <w:r w:rsidR="00FD7BA8" w:rsidRPr="00B270FC">
        <w:rPr>
          <w:rStyle w:val="nf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270FC">
        <w:rPr>
          <w:rStyle w:val="nfasis"/>
          <w:rFonts w:ascii="Arial" w:hAnsi="Arial" w:cs="Arial"/>
          <w:i w:val="0"/>
          <w:iCs w:val="0"/>
          <w:sz w:val="24"/>
          <w:szCs w:val="24"/>
        </w:rPr>
        <w:t>para determinar el plazo, forma y contenido detallado de las partes</w:t>
      </w:r>
      <w:r w:rsidR="00FD7BA8">
        <w:rPr>
          <w:rStyle w:val="nfasis"/>
          <w:rFonts w:ascii="Arial" w:hAnsi="Arial" w:cs="Arial"/>
          <w:i w:val="0"/>
          <w:iCs w:val="0"/>
          <w:sz w:val="24"/>
          <w:szCs w:val="24"/>
        </w:rPr>
        <w:t>, así como</w:t>
      </w:r>
      <w:r w:rsidRPr="00B270FC">
        <w:rPr>
          <w:rStyle w:val="nfasis"/>
          <w:rFonts w:ascii="Arial" w:hAnsi="Arial" w:cs="Arial"/>
          <w:i w:val="0"/>
          <w:iCs w:val="0"/>
          <w:sz w:val="24"/>
          <w:szCs w:val="24"/>
        </w:rPr>
        <w:t xml:space="preserve"> los capítulos del informe periódico de fin de ejercicio y </w:t>
      </w:r>
      <w:r w:rsidR="0067249A">
        <w:rPr>
          <w:rStyle w:val="nfasis"/>
          <w:rFonts w:ascii="Arial" w:hAnsi="Arial" w:cs="Arial"/>
          <w:i w:val="0"/>
          <w:iCs w:val="0"/>
          <w:sz w:val="24"/>
          <w:szCs w:val="24"/>
        </w:rPr>
        <w:t>d</w:t>
      </w:r>
      <w:r w:rsidRPr="00B270FC">
        <w:rPr>
          <w:rStyle w:val="nfasis"/>
          <w:rFonts w:ascii="Arial" w:hAnsi="Arial" w:cs="Arial"/>
          <w:i w:val="0"/>
          <w:iCs w:val="0"/>
          <w:sz w:val="24"/>
          <w:szCs w:val="24"/>
        </w:rPr>
        <w:t>el informe periódico trimestral.</w:t>
      </w:r>
    </w:p>
    <w:p w14:paraId="68F82B99" w14:textId="77777777" w:rsidR="00F30C35" w:rsidRPr="00B270FC" w:rsidRDefault="00F30C35" w:rsidP="00DF6B31">
      <w:pPr>
        <w:jc w:val="both"/>
        <w:rPr>
          <w:rStyle w:val="nfasis"/>
          <w:rFonts w:ascii="Arial" w:hAnsi="Arial" w:cs="Arial"/>
          <w:i w:val="0"/>
          <w:iCs w:val="0"/>
          <w:sz w:val="24"/>
          <w:szCs w:val="24"/>
        </w:rPr>
      </w:pPr>
    </w:p>
    <w:p w14:paraId="6E0DEE80" w14:textId="554EDB1A" w:rsidR="00965312" w:rsidRDefault="00FD7BA8" w:rsidP="00DF6B31">
      <w:pPr>
        <w:jc w:val="both"/>
        <w:rPr>
          <w:rStyle w:val="nfasis"/>
          <w:rFonts w:ascii="Arial" w:hAnsi="Arial" w:cs="Arial"/>
          <w:i w:val="0"/>
          <w:iCs w:val="0"/>
          <w:sz w:val="24"/>
          <w:szCs w:val="24"/>
        </w:rPr>
      </w:pPr>
      <w:r>
        <w:rPr>
          <w:rStyle w:val="nfasis"/>
          <w:rFonts w:ascii="Arial" w:hAnsi="Arial" w:cs="Arial"/>
          <w:i w:val="0"/>
          <w:iCs w:val="0"/>
          <w:sz w:val="24"/>
          <w:szCs w:val="24"/>
        </w:rPr>
        <w:t>Bajo este contexto</w:t>
      </w:r>
      <w:r w:rsidR="00CE478D" w:rsidRPr="002E3337">
        <w:rPr>
          <w:rStyle w:val="nfasis"/>
          <w:rFonts w:ascii="Arial" w:hAnsi="Arial" w:cs="Arial"/>
          <w:i w:val="0"/>
          <w:iCs w:val="0"/>
          <w:sz w:val="24"/>
          <w:szCs w:val="24"/>
        </w:rPr>
        <w:t xml:space="preserve">, </w:t>
      </w:r>
      <w:r w:rsidR="002E3337" w:rsidRPr="002E3337">
        <w:rPr>
          <w:rStyle w:val="nfasis"/>
          <w:rFonts w:ascii="Arial" w:hAnsi="Arial" w:cs="Arial"/>
          <w:i w:val="0"/>
          <w:iCs w:val="0"/>
          <w:sz w:val="24"/>
          <w:szCs w:val="24"/>
        </w:rPr>
        <w:t xml:space="preserve">y </w:t>
      </w:r>
      <w:r w:rsidR="00CE478D" w:rsidRPr="002E3337">
        <w:rPr>
          <w:rStyle w:val="nfasis"/>
          <w:rFonts w:ascii="Arial" w:hAnsi="Arial" w:cs="Arial"/>
          <w:i w:val="0"/>
          <w:iCs w:val="0"/>
          <w:sz w:val="24"/>
          <w:szCs w:val="24"/>
        </w:rPr>
        <w:t xml:space="preserve">con el propósito de </w:t>
      </w:r>
      <w:r w:rsidR="0071400C" w:rsidRPr="002E3337">
        <w:rPr>
          <w:rStyle w:val="nfasis"/>
          <w:rFonts w:ascii="Arial" w:hAnsi="Arial" w:cs="Arial"/>
          <w:i w:val="0"/>
          <w:iCs w:val="0"/>
          <w:sz w:val="24"/>
          <w:szCs w:val="24"/>
        </w:rPr>
        <w:t>promover</w:t>
      </w:r>
      <w:r w:rsidR="00CE478D" w:rsidRPr="002E3337">
        <w:rPr>
          <w:rStyle w:val="nfasis"/>
          <w:rFonts w:ascii="Arial" w:hAnsi="Arial" w:cs="Arial"/>
          <w:i w:val="0"/>
          <w:iCs w:val="0"/>
          <w:sz w:val="24"/>
          <w:szCs w:val="24"/>
        </w:rPr>
        <w:t xml:space="preserve"> </w:t>
      </w:r>
      <w:r>
        <w:rPr>
          <w:rStyle w:val="nfasis"/>
          <w:rFonts w:ascii="Arial" w:hAnsi="Arial" w:cs="Arial"/>
          <w:i w:val="0"/>
          <w:iCs w:val="0"/>
          <w:sz w:val="24"/>
          <w:szCs w:val="24"/>
        </w:rPr>
        <w:t xml:space="preserve">una mayor </w:t>
      </w:r>
      <w:r w:rsidR="006C11DF">
        <w:rPr>
          <w:rStyle w:val="nfasis"/>
          <w:rFonts w:ascii="Arial" w:hAnsi="Arial" w:cs="Arial"/>
          <w:i w:val="0"/>
          <w:iCs w:val="0"/>
          <w:sz w:val="24"/>
          <w:szCs w:val="24"/>
        </w:rPr>
        <w:t>profundización</w:t>
      </w:r>
      <w:r>
        <w:rPr>
          <w:rStyle w:val="nf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6C11DF">
        <w:rPr>
          <w:rStyle w:val="nfasis"/>
          <w:rFonts w:ascii="Arial" w:hAnsi="Arial" w:cs="Arial"/>
          <w:i w:val="0"/>
          <w:iCs w:val="0"/>
          <w:sz w:val="24"/>
          <w:szCs w:val="24"/>
        </w:rPr>
        <w:t>en el</w:t>
      </w:r>
      <w:r w:rsidR="007C36A0">
        <w:rPr>
          <w:rStyle w:val="nf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CE478D" w:rsidRPr="002E3337">
        <w:rPr>
          <w:rStyle w:val="nfasis"/>
          <w:rFonts w:ascii="Arial" w:hAnsi="Arial" w:cs="Arial"/>
          <w:i w:val="0"/>
          <w:iCs w:val="0"/>
          <w:sz w:val="24"/>
          <w:szCs w:val="24"/>
        </w:rPr>
        <w:t xml:space="preserve">mercado de valores, proveer información oportuna, completa y suficiente para la toma de decisiones de inversión por parte de los agentes del mercado, </w:t>
      </w:r>
      <w:r w:rsidR="001F0BDB" w:rsidRPr="002E3337">
        <w:rPr>
          <w:rStyle w:val="nfasis"/>
          <w:rFonts w:ascii="Arial" w:hAnsi="Arial" w:cs="Arial"/>
          <w:i w:val="0"/>
          <w:iCs w:val="0"/>
          <w:sz w:val="24"/>
          <w:szCs w:val="24"/>
        </w:rPr>
        <w:t xml:space="preserve">esta Superintendencia </w:t>
      </w:r>
      <w:r>
        <w:rPr>
          <w:rStyle w:val="nfasis"/>
          <w:rFonts w:ascii="Arial" w:hAnsi="Arial" w:cs="Arial"/>
          <w:i w:val="0"/>
          <w:iCs w:val="0"/>
          <w:sz w:val="24"/>
          <w:szCs w:val="24"/>
        </w:rPr>
        <w:t>imparte</w:t>
      </w:r>
      <w:r w:rsidR="001F0BDB" w:rsidRPr="002E3337">
        <w:rPr>
          <w:rStyle w:val="nfasis"/>
          <w:rFonts w:ascii="Arial" w:hAnsi="Arial" w:cs="Arial"/>
          <w:i w:val="0"/>
          <w:iCs w:val="0"/>
          <w:sz w:val="24"/>
          <w:szCs w:val="24"/>
        </w:rPr>
        <w:t xml:space="preserve"> instrucciones sobre la revelación de </w:t>
      </w:r>
      <w:r w:rsidR="008C0112">
        <w:rPr>
          <w:rStyle w:val="nfasis"/>
          <w:rFonts w:ascii="Arial" w:hAnsi="Arial" w:cs="Arial"/>
          <w:i w:val="0"/>
          <w:iCs w:val="0"/>
          <w:sz w:val="24"/>
          <w:szCs w:val="24"/>
        </w:rPr>
        <w:t xml:space="preserve">la </w:t>
      </w:r>
      <w:r w:rsidR="001F0BDB" w:rsidRPr="002E3337">
        <w:rPr>
          <w:rStyle w:val="nfasis"/>
          <w:rFonts w:ascii="Arial" w:hAnsi="Arial" w:cs="Arial"/>
          <w:i w:val="0"/>
          <w:iCs w:val="0"/>
          <w:sz w:val="24"/>
          <w:szCs w:val="24"/>
        </w:rPr>
        <w:t xml:space="preserve">información periódica, de conformidad con las disposiciones contenidas en el </w:t>
      </w:r>
      <w:r w:rsidR="00D66061">
        <w:rPr>
          <w:rStyle w:val="nfasis"/>
          <w:rFonts w:ascii="Arial" w:hAnsi="Arial" w:cs="Arial"/>
          <w:i w:val="0"/>
          <w:iCs w:val="0"/>
          <w:sz w:val="24"/>
          <w:szCs w:val="24"/>
        </w:rPr>
        <w:t>mencionado</w:t>
      </w:r>
      <w:r w:rsidR="001F0BDB" w:rsidRPr="002E3337">
        <w:rPr>
          <w:rStyle w:val="nfasis"/>
          <w:rFonts w:ascii="Arial" w:hAnsi="Arial" w:cs="Arial"/>
          <w:i w:val="0"/>
          <w:iCs w:val="0"/>
          <w:sz w:val="24"/>
          <w:szCs w:val="24"/>
        </w:rPr>
        <w:t xml:space="preserve"> Decreto</w:t>
      </w:r>
      <w:r w:rsidR="00D66061">
        <w:rPr>
          <w:rStyle w:val="nfasis"/>
          <w:rFonts w:ascii="Arial" w:hAnsi="Arial" w:cs="Arial"/>
          <w:i w:val="0"/>
          <w:iCs w:val="0"/>
          <w:sz w:val="24"/>
          <w:szCs w:val="24"/>
        </w:rPr>
        <w:t>.</w:t>
      </w:r>
    </w:p>
    <w:p w14:paraId="2E17E3F0" w14:textId="77777777" w:rsidR="00DF6B31" w:rsidRPr="00FE1D9A" w:rsidRDefault="00DF6B31" w:rsidP="00DF6B31">
      <w:pPr>
        <w:jc w:val="both"/>
        <w:rPr>
          <w:rStyle w:val="nfasis"/>
          <w:rFonts w:ascii="Arial" w:hAnsi="Arial" w:cs="Arial"/>
          <w:i w:val="0"/>
          <w:iCs w:val="0"/>
          <w:sz w:val="24"/>
          <w:szCs w:val="24"/>
        </w:rPr>
      </w:pPr>
    </w:p>
    <w:p w14:paraId="65903B49" w14:textId="57A83600" w:rsidR="00DF6B31" w:rsidRPr="00FE1D9A" w:rsidRDefault="00DF6B31" w:rsidP="00DF6B31">
      <w:pPr>
        <w:jc w:val="both"/>
        <w:rPr>
          <w:rStyle w:val="nfasis"/>
          <w:rFonts w:ascii="Arial" w:hAnsi="Arial" w:cs="Arial"/>
          <w:i w:val="0"/>
          <w:iCs w:val="0"/>
          <w:sz w:val="24"/>
          <w:szCs w:val="24"/>
          <w:lang w:val="es-CO"/>
        </w:rPr>
      </w:pPr>
      <w:r w:rsidRPr="00FE1D9A">
        <w:rPr>
          <w:rStyle w:val="nfasis"/>
          <w:rFonts w:ascii="Arial" w:hAnsi="Arial" w:cs="Arial"/>
          <w:i w:val="0"/>
          <w:iCs w:val="0"/>
          <w:sz w:val="24"/>
          <w:szCs w:val="24"/>
        </w:rPr>
        <w:t>En virtud de lo anterior, este Despacho, en ejercicio de las facultades conferidas en el literal a) del artículo 6 de la Ley 964 de 2005, y los artículos 5.2.4.1.1., 5.2.4.2.2., 5.2.4.2.3.</w:t>
      </w:r>
      <w:r w:rsidR="00D66061">
        <w:rPr>
          <w:rStyle w:val="nfasis"/>
          <w:rFonts w:ascii="Arial" w:hAnsi="Arial" w:cs="Arial"/>
          <w:i w:val="0"/>
          <w:iCs w:val="0"/>
          <w:sz w:val="24"/>
          <w:szCs w:val="24"/>
        </w:rPr>
        <w:t xml:space="preserve">, 5.2.3.1.9. </w:t>
      </w:r>
      <w:r w:rsidRPr="00FE1D9A">
        <w:rPr>
          <w:rStyle w:val="nfasis"/>
          <w:rFonts w:ascii="Arial" w:hAnsi="Arial" w:cs="Arial"/>
          <w:i w:val="0"/>
          <w:iCs w:val="0"/>
          <w:sz w:val="24"/>
          <w:szCs w:val="24"/>
        </w:rPr>
        <w:t>y el numeral 4. del artículo 11.2.1.4.2. del Decreto 2555 de 2010, imparte las siguientes instrucciones:</w:t>
      </w:r>
    </w:p>
    <w:p w14:paraId="693F5C33" w14:textId="77777777" w:rsidR="00DF6B31" w:rsidRPr="00FE1D9A" w:rsidRDefault="00DF6B31" w:rsidP="00DF6B31">
      <w:pPr>
        <w:jc w:val="both"/>
        <w:rPr>
          <w:rStyle w:val="nfasis"/>
          <w:rFonts w:ascii="Arial" w:hAnsi="Arial" w:cs="Arial"/>
          <w:i w:val="0"/>
          <w:iCs w:val="0"/>
          <w:sz w:val="24"/>
          <w:szCs w:val="24"/>
        </w:rPr>
      </w:pPr>
    </w:p>
    <w:p w14:paraId="3EC0F3F5" w14:textId="7A014F25" w:rsidR="00DF6B31" w:rsidRPr="00846611" w:rsidRDefault="00DF6B31" w:rsidP="00DF6B31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FE1D9A">
        <w:rPr>
          <w:rFonts w:ascii="Arial" w:hAnsi="Arial" w:cs="Arial"/>
          <w:b/>
          <w:sz w:val="24"/>
          <w:szCs w:val="24"/>
        </w:rPr>
        <w:t xml:space="preserve">PRIMERA: </w:t>
      </w:r>
      <w:r w:rsidR="007F56C3">
        <w:rPr>
          <w:rFonts w:ascii="Arial" w:hAnsi="Arial" w:cs="Arial"/>
          <w:sz w:val="24"/>
          <w:szCs w:val="24"/>
        </w:rPr>
        <w:t xml:space="preserve">Crear </w:t>
      </w:r>
      <w:r w:rsidRPr="00FE1D9A">
        <w:rPr>
          <w:rFonts w:ascii="Arial" w:hAnsi="Arial" w:cs="Arial"/>
          <w:sz w:val="24"/>
          <w:szCs w:val="24"/>
        </w:rPr>
        <w:t xml:space="preserve">el </w:t>
      </w:r>
      <w:r w:rsidR="00847CE7">
        <w:rPr>
          <w:rFonts w:ascii="Arial" w:hAnsi="Arial" w:cs="Arial"/>
          <w:sz w:val="24"/>
          <w:szCs w:val="24"/>
        </w:rPr>
        <w:t xml:space="preserve">Anexo </w:t>
      </w:r>
      <w:r w:rsidR="00357F64">
        <w:rPr>
          <w:rFonts w:ascii="Arial" w:hAnsi="Arial" w:cs="Arial"/>
          <w:sz w:val="24"/>
          <w:szCs w:val="24"/>
        </w:rPr>
        <w:t>1</w:t>
      </w:r>
      <w:r w:rsidR="00847CE7">
        <w:rPr>
          <w:rFonts w:ascii="Arial" w:hAnsi="Arial" w:cs="Arial"/>
          <w:sz w:val="24"/>
          <w:szCs w:val="24"/>
        </w:rPr>
        <w:t xml:space="preserve"> </w:t>
      </w:r>
      <w:r w:rsidR="00F14D4B">
        <w:rPr>
          <w:rFonts w:ascii="Arial" w:hAnsi="Arial" w:cs="Arial"/>
          <w:color w:val="202124"/>
          <w:shd w:val="clear" w:color="auto" w:fill="FFFFFF"/>
        </w:rPr>
        <w:t>«</w:t>
      </w:r>
      <w:r w:rsidR="00847CE7" w:rsidRPr="00302031">
        <w:rPr>
          <w:rFonts w:ascii="Arial" w:hAnsi="Arial" w:cs="Arial"/>
          <w:i/>
          <w:iCs/>
          <w:sz w:val="24"/>
          <w:szCs w:val="24"/>
        </w:rPr>
        <w:t>Información periódica de los emisores</w:t>
      </w:r>
      <w:r w:rsidR="00FB5206">
        <w:rPr>
          <w:rFonts w:ascii="Arial" w:hAnsi="Arial" w:cs="Arial"/>
          <w:color w:val="202124"/>
          <w:shd w:val="clear" w:color="auto" w:fill="FFFFFF"/>
        </w:rPr>
        <w:t>»</w:t>
      </w:r>
      <w:r w:rsidR="00847CE7">
        <w:rPr>
          <w:rFonts w:ascii="Arial" w:hAnsi="Arial" w:cs="Arial"/>
          <w:sz w:val="24"/>
          <w:szCs w:val="24"/>
        </w:rPr>
        <w:t xml:space="preserve"> </w:t>
      </w:r>
      <w:r w:rsidR="004E76D7">
        <w:rPr>
          <w:rFonts w:ascii="Arial" w:hAnsi="Arial" w:cs="Arial"/>
          <w:sz w:val="24"/>
          <w:szCs w:val="24"/>
        </w:rPr>
        <w:t>en el</w:t>
      </w:r>
      <w:r w:rsidRPr="00FE1D9A">
        <w:rPr>
          <w:rFonts w:ascii="Arial" w:hAnsi="Arial" w:cs="Arial"/>
          <w:sz w:val="24"/>
          <w:szCs w:val="24"/>
        </w:rPr>
        <w:t xml:space="preserve"> Capítulo I del Título V de la Parte III de la Circular Básica Jurídica</w:t>
      </w:r>
      <w:r w:rsidR="00957194">
        <w:rPr>
          <w:rFonts w:ascii="Arial" w:hAnsi="Arial" w:cs="Arial"/>
          <w:sz w:val="24"/>
          <w:szCs w:val="24"/>
        </w:rPr>
        <w:t xml:space="preserve"> </w:t>
      </w:r>
      <w:r w:rsidR="00957194" w:rsidRPr="00846611">
        <w:rPr>
          <w:rFonts w:ascii="Arial" w:hAnsi="Arial" w:cs="Arial"/>
          <w:i/>
          <w:iCs/>
          <w:color w:val="000000" w:themeColor="text1"/>
          <w:sz w:val="24"/>
          <w:shd w:val="clear" w:color="auto" w:fill="FFFFFF"/>
        </w:rPr>
        <w:t>«Registro Nacional de Valores y Emisores – RNVE»</w:t>
      </w:r>
      <w:r w:rsidR="006F299C" w:rsidRPr="00846611">
        <w:rPr>
          <w:rFonts w:ascii="Arial" w:hAnsi="Arial" w:cs="Arial"/>
          <w:i/>
          <w:iCs/>
          <w:color w:val="000000" w:themeColor="text1"/>
          <w:sz w:val="24"/>
          <w:shd w:val="clear" w:color="auto" w:fill="FFFFFF"/>
        </w:rPr>
        <w:t>,</w:t>
      </w:r>
      <w:r w:rsidRPr="00846611">
        <w:rPr>
          <w:rFonts w:ascii="Arial" w:hAnsi="Arial" w:cs="Arial"/>
          <w:i/>
          <w:iCs/>
          <w:color w:val="000000" w:themeColor="text1"/>
          <w:sz w:val="24"/>
          <w:shd w:val="clear" w:color="auto" w:fill="FFFFFF"/>
        </w:rPr>
        <w:t xml:space="preserve"> </w:t>
      </w:r>
      <w:r w:rsidRPr="00FE1D9A">
        <w:rPr>
          <w:rFonts w:ascii="Arial" w:hAnsi="Arial" w:cs="Arial"/>
          <w:sz w:val="24"/>
          <w:szCs w:val="24"/>
        </w:rPr>
        <w:t xml:space="preserve">para </w:t>
      </w:r>
      <w:r w:rsidR="00526CF3">
        <w:rPr>
          <w:rFonts w:ascii="Arial" w:hAnsi="Arial" w:cs="Arial"/>
          <w:sz w:val="24"/>
          <w:szCs w:val="24"/>
        </w:rPr>
        <w:t>definir</w:t>
      </w:r>
      <w:r w:rsidR="00526CF3" w:rsidRPr="00FE1D9A">
        <w:rPr>
          <w:rFonts w:ascii="Arial" w:hAnsi="Arial" w:cs="Arial"/>
          <w:sz w:val="24"/>
          <w:szCs w:val="24"/>
        </w:rPr>
        <w:t xml:space="preserve"> </w:t>
      </w:r>
      <w:r w:rsidRPr="00FE1D9A">
        <w:rPr>
          <w:rFonts w:ascii="Arial" w:hAnsi="Arial" w:cs="Arial"/>
          <w:sz w:val="24"/>
          <w:szCs w:val="24"/>
        </w:rPr>
        <w:t>la forma y el contenido del informe periódico de fin de ejercicio y del informe periódico trimestral, en atención a las disposiciones del Decreto 151 de 2021</w:t>
      </w:r>
      <w:r w:rsidR="00326BC7">
        <w:rPr>
          <w:rFonts w:ascii="Arial" w:hAnsi="Arial" w:cs="Arial"/>
          <w:sz w:val="24"/>
          <w:szCs w:val="24"/>
        </w:rPr>
        <w:t xml:space="preserve">, incorporado </w:t>
      </w:r>
      <w:r w:rsidR="00141341">
        <w:rPr>
          <w:rFonts w:ascii="Arial" w:hAnsi="Arial" w:cs="Arial"/>
          <w:sz w:val="24"/>
          <w:szCs w:val="24"/>
        </w:rPr>
        <w:t>en el</w:t>
      </w:r>
      <w:r w:rsidR="00326BC7">
        <w:rPr>
          <w:rFonts w:ascii="Arial" w:hAnsi="Arial" w:cs="Arial"/>
          <w:sz w:val="24"/>
          <w:szCs w:val="24"/>
        </w:rPr>
        <w:t xml:space="preserve"> Decreto 2555 de 2010</w:t>
      </w:r>
      <w:r w:rsidRPr="00FE1D9A">
        <w:rPr>
          <w:rFonts w:ascii="Arial" w:hAnsi="Arial" w:cs="Arial"/>
          <w:sz w:val="24"/>
          <w:szCs w:val="24"/>
        </w:rPr>
        <w:t xml:space="preserve">. </w:t>
      </w:r>
    </w:p>
    <w:p w14:paraId="0B5BD945" w14:textId="77777777" w:rsidR="00DF6B31" w:rsidRPr="00FE1D9A" w:rsidRDefault="00DF6B31" w:rsidP="00DF6B31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5DAAE8AF" w14:textId="5E6D4CE4" w:rsidR="00DF6B31" w:rsidRDefault="006676BD" w:rsidP="00DF6B31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  <w:r w:rsidRPr="003C3190">
        <w:rPr>
          <w:rFonts w:cs="Arial"/>
          <w:b/>
          <w:szCs w:val="24"/>
        </w:rPr>
        <w:t>SEGUNDA</w:t>
      </w:r>
      <w:r w:rsidR="00DF6B31" w:rsidRPr="003C3190">
        <w:rPr>
          <w:rFonts w:cs="Arial"/>
          <w:b/>
          <w:szCs w:val="24"/>
        </w:rPr>
        <w:t xml:space="preserve">: </w:t>
      </w:r>
      <w:r w:rsidR="007F56C3">
        <w:rPr>
          <w:rFonts w:cs="Arial"/>
          <w:szCs w:val="24"/>
        </w:rPr>
        <w:t>Modificar</w:t>
      </w:r>
      <w:r w:rsidR="00FD7BA8" w:rsidRPr="003C3190">
        <w:rPr>
          <w:rFonts w:cs="Arial"/>
          <w:szCs w:val="24"/>
        </w:rPr>
        <w:t xml:space="preserve"> </w:t>
      </w:r>
      <w:r w:rsidR="007741DB" w:rsidRPr="003C3190">
        <w:rPr>
          <w:rFonts w:cs="Arial"/>
          <w:szCs w:val="24"/>
        </w:rPr>
        <w:t xml:space="preserve">el </w:t>
      </w:r>
      <w:r w:rsidR="009C7465" w:rsidRPr="003C3190">
        <w:rPr>
          <w:rFonts w:cs="Arial"/>
          <w:szCs w:val="24"/>
        </w:rPr>
        <w:t xml:space="preserve">subnumeral </w:t>
      </w:r>
      <w:r w:rsidR="003C3190" w:rsidRPr="003C3190">
        <w:rPr>
          <w:rFonts w:cs="Arial"/>
          <w:szCs w:val="24"/>
        </w:rPr>
        <w:t>2.3. y adicionar</w:t>
      </w:r>
      <w:r w:rsidR="007741DB" w:rsidRPr="003C3190">
        <w:rPr>
          <w:rFonts w:cs="Arial"/>
          <w:szCs w:val="24"/>
        </w:rPr>
        <w:t xml:space="preserve"> </w:t>
      </w:r>
      <w:r w:rsidR="00DF6B31" w:rsidRPr="003C3190">
        <w:rPr>
          <w:rFonts w:eastAsia="Arial" w:cs="Arial"/>
          <w:color w:val="000000" w:themeColor="text1"/>
          <w:szCs w:val="24"/>
          <w:lang w:val="es-CO"/>
        </w:rPr>
        <w:t xml:space="preserve">el numeral </w:t>
      </w:r>
      <w:r w:rsidR="003C3190" w:rsidRPr="00846611">
        <w:rPr>
          <w:rFonts w:eastAsia="Arial" w:cs="Arial"/>
          <w:color w:val="000000" w:themeColor="text1"/>
          <w:szCs w:val="24"/>
          <w:lang w:val="es-CO"/>
        </w:rPr>
        <w:t>6</w:t>
      </w:r>
      <w:r w:rsidR="004241FB" w:rsidRPr="003C3190">
        <w:rPr>
          <w:rFonts w:eastAsia="Arial" w:cs="Arial"/>
          <w:color w:val="000000" w:themeColor="text1"/>
          <w:szCs w:val="24"/>
          <w:lang w:val="es-CO"/>
        </w:rPr>
        <w:t>.</w:t>
      </w:r>
      <w:r w:rsidR="00DF6B31" w:rsidRPr="003C3190">
        <w:rPr>
          <w:rFonts w:eastAsia="Arial" w:cs="Arial"/>
          <w:color w:val="000000" w:themeColor="text1"/>
          <w:szCs w:val="24"/>
          <w:lang w:val="es-CO"/>
        </w:rPr>
        <w:t xml:space="preserve"> al Capítulo I del Título V de </w:t>
      </w:r>
      <w:r w:rsidR="00DF6B31" w:rsidRPr="00C57BD4">
        <w:rPr>
          <w:rFonts w:eastAsia="Arial" w:cs="Arial"/>
          <w:color w:val="000000" w:themeColor="text1"/>
          <w:szCs w:val="24"/>
          <w:lang w:val="es-CO"/>
        </w:rPr>
        <w:t xml:space="preserve">la Parte III de la Circular Básica Jurídica </w:t>
      </w:r>
      <w:r w:rsidR="00F14D4B" w:rsidRPr="00846611">
        <w:rPr>
          <w:rFonts w:cs="Arial"/>
          <w:color w:val="000000" w:themeColor="text1"/>
          <w:shd w:val="clear" w:color="auto" w:fill="FFFFFF"/>
        </w:rPr>
        <w:t>«</w:t>
      </w:r>
      <w:r w:rsidR="00DF6B31" w:rsidRPr="00C57BD4">
        <w:rPr>
          <w:rFonts w:eastAsia="Arial" w:cs="Arial"/>
          <w:i/>
          <w:iCs/>
          <w:color w:val="000000" w:themeColor="text1"/>
          <w:szCs w:val="24"/>
          <w:lang w:val="es-CO"/>
        </w:rPr>
        <w:t>Registro Nacional de Valores y Emisores – RNVE</w:t>
      </w:r>
      <w:r w:rsidR="00FB5206" w:rsidRPr="00846611">
        <w:rPr>
          <w:rFonts w:cs="Arial"/>
          <w:color w:val="000000" w:themeColor="text1"/>
          <w:shd w:val="clear" w:color="auto" w:fill="FFFFFF"/>
        </w:rPr>
        <w:t>»</w:t>
      </w:r>
      <w:r w:rsidR="00AD3473" w:rsidRPr="00846611">
        <w:rPr>
          <w:rFonts w:cs="Arial"/>
          <w:color w:val="000000" w:themeColor="text1"/>
          <w:shd w:val="clear" w:color="auto" w:fill="FFFFFF"/>
        </w:rPr>
        <w:t>,</w:t>
      </w:r>
      <w:r w:rsidR="00DF6B31" w:rsidRPr="00C57BD4">
        <w:rPr>
          <w:rFonts w:eastAsia="Arial" w:cs="Arial"/>
          <w:color w:val="000000" w:themeColor="text1"/>
          <w:szCs w:val="24"/>
          <w:lang w:val="es-CO"/>
        </w:rPr>
        <w:t xml:space="preserve"> </w:t>
      </w:r>
      <w:r w:rsidR="00D664AC" w:rsidRPr="00C57BD4">
        <w:rPr>
          <w:rFonts w:eastAsia="Arial" w:cs="Arial"/>
          <w:color w:val="000000" w:themeColor="text1"/>
          <w:szCs w:val="24"/>
          <w:lang w:val="es-CO"/>
        </w:rPr>
        <w:t xml:space="preserve">para </w:t>
      </w:r>
      <w:r w:rsidR="00CF17A4" w:rsidRPr="00C57BD4">
        <w:rPr>
          <w:rFonts w:eastAsia="Arial" w:cs="Arial"/>
          <w:color w:val="000000" w:themeColor="text1"/>
          <w:szCs w:val="24"/>
          <w:lang w:val="es-CO"/>
        </w:rPr>
        <w:t>remitir</w:t>
      </w:r>
      <w:r w:rsidR="00DF6B31" w:rsidRPr="00C57BD4">
        <w:rPr>
          <w:rFonts w:eastAsia="Arial" w:cs="Arial"/>
          <w:color w:val="000000" w:themeColor="text1"/>
          <w:szCs w:val="24"/>
          <w:lang w:val="es-CO"/>
        </w:rPr>
        <w:t xml:space="preserve"> </w:t>
      </w:r>
      <w:r w:rsidR="00CF17A4" w:rsidRPr="00C57BD4">
        <w:rPr>
          <w:rFonts w:eastAsia="Arial" w:cs="Arial"/>
          <w:color w:val="000000" w:themeColor="text1"/>
          <w:szCs w:val="24"/>
          <w:lang w:val="es-CO"/>
        </w:rPr>
        <w:t>a</w:t>
      </w:r>
      <w:r w:rsidR="00DF6B31" w:rsidRPr="00C57BD4">
        <w:rPr>
          <w:rFonts w:eastAsia="Arial" w:cs="Arial"/>
          <w:color w:val="000000" w:themeColor="text1"/>
          <w:szCs w:val="24"/>
          <w:lang w:val="es-CO"/>
        </w:rPr>
        <w:t xml:space="preserve"> las instrucciones contenidas en el Anexo 1</w:t>
      </w:r>
      <w:r w:rsidR="00CF17A4" w:rsidRPr="00C57BD4">
        <w:rPr>
          <w:rFonts w:eastAsia="Arial" w:cs="Arial"/>
          <w:color w:val="000000" w:themeColor="text1"/>
          <w:szCs w:val="24"/>
          <w:lang w:val="es-CO"/>
        </w:rPr>
        <w:t xml:space="preserve"> </w:t>
      </w:r>
      <w:r w:rsidR="00CF17A4" w:rsidRPr="00846611">
        <w:rPr>
          <w:rFonts w:cs="Arial"/>
          <w:color w:val="000000" w:themeColor="text1"/>
          <w:shd w:val="clear" w:color="auto" w:fill="FFFFFF"/>
        </w:rPr>
        <w:t>«</w:t>
      </w:r>
      <w:r w:rsidR="00CF17A4" w:rsidRPr="00846611">
        <w:rPr>
          <w:rFonts w:cs="Arial"/>
          <w:i/>
          <w:iCs/>
          <w:color w:val="000000" w:themeColor="text1"/>
          <w:szCs w:val="24"/>
        </w:rPr>
        <w:t xml:space="preserve">Información periódica </w:t>
      </w:r>
      <w:r w:rsidR="00CF17A4" w:rsidRPr="00302031">
        <w:rPr>
          <w:rFonts w:cs="Arial"/>
          <w:i/>
          <w:iCs/>
          <w:szCs w:val="24"/>
        </w:rPr>
        <w:t>de los emisores</w:t>
      </w:r>
      <w:r w:rsidR="00CF17A4">
        <w:rPr>
          <w:rFonts w:cs="Arial"/>
          <w:color w:val="202124"/>
          <w:shd w:val="clear" w:color="auto" w:fill="FFFFFF"/>
        </w:rPr>
        <w:t>»</w:t>
      </w:r>
      <w:r w:rsidR="00DF6B31" w:rsidRPr="003C3190">
        <w:rPr>
          <w:rFonts w:eastAsia="Arial" w:cs="Arial"/>
          <w:color w:val="000000" w:themeColor="text1"/>
          <w:szCs w:val="24"/>
          <w:lang w:val="es-CO"/>
        </w:rPr>
        <w:t xml:space="preserve">, que se </w:t>
      </w:r>
      <w:r w:rsidR="00FD7BA8">
        <w:rPr>
          <w:rFonts w:eastAsia="Arial" w:cs="Arial"/>
          <w:color w:val="000000" w:themeColor="text1"/>
          <w:szCs w:val="24"/>
          <w:lang w:val="es-CO"/>
        </w:rPr>
        <w:t xml:space="preserve">crea </w:t>
      </w:r>
      <w:r w:rsidR="00D664AC">
        <w:rPr>
          <w:rFonts w:eastAsia="Arial" w:cs="Arial"/>
          <w:color w:val="000000" w:themeColor="text1"/>
          <w:szCs w:val="24"/>
          <w:lang w:val="es-CO"/>
        </w:rPr>
        <w:t>a través de</w:t>
      </w:r>
      <w:r w:rsidR="00D664AC" w:rsidRPr="003C3190">
        <w:rPr>
          <w:rFonts w:eastAsia="Arial" w:cs="Arial"/>
          <w:color w:val="000000" w:themeColor="text1"/>
          <w:szCs w:val="24"/>
          <w:lang w:val="es-CO"/>
        </w:rPr>
        <w:t xml:space="preserve"> </w:t>
      </w:r>
      <w:r w:rsidR="00DF6B31" w:rsidRPr="003C3190">
        <w:rPr>
          <w:rFonts w:eastAsia="Arial" w:cs="Arial"/>
          <w:color w:val="000000" w:themeColor="text1"/>
          <w:szCs w:val="24"/>
          <w:lang w:val="es-CO"/>
        </w:rPr>
        <w:t>la presente Circular.</w:t>
      </w:r>
    </w:p>
    <w:p w14:paraId="04F6E929" w14:textId="31AEA608" w:rsidR="003C3190" w:rsidRDefault="003C3190" w:rsidP="00DF6B31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</w:p>
    <w:p w14:paraId="14244984" w14:textId="4385642F" w:rsidR="003C3190" w:rsidRPr="00E21952" w:rsidRDefault="003C3190" w:rsidP="00DF6B31">
      <w:pPr>
        <w:pStyle w:val="Sinespaciado"/>
        <w:jc w:val="both"/>
        <w:rPr>
          <w:rFonts w:cs="Arial"/>
          <w:color w:val="000000" w:themeColor="text1"/>
          <w:shd w:val="clear" w:color="auto" w:fill="FFFFFF"/>
        </w:rPr>
      </w:pPr>
      <w:r w:rsidRPr="00E21952">
        <w:rPr>
          <w:rFonts w:eastAsia="Arial" w:cs="Arial"/>
          <w:b/>
          <w:bCs/>
          <w:color w:val="000000" w:themeColor="text1"/>
          <w:szCs w:val="24"/>
          <w:lang w:val="es-CO"/>
        </w:rPr>
        <w:t>TERCERA:</w:t>
      </w:r>
      <w:r w:rsidRPr="00E21952">
        <w:rPr>
          <w:rFonts w:eastAsia="Arial" w:cs="Arial"/>
          <w:color w:val="000000" w:themeColor="text1"/>
          <w:szCs w:val="24"/>
          <w:lang w:val="es-CO"/>
        </w:rPr>
        <w:t xml:space="preserve"> </w:t>
      </w:r>
      <w:r w:rsidR="00A41681" w:rsidRPr="00E21952">
        <w:rPr>
          <w:rFonts w:eastAsia="Arial" w:cs="Arial"/>
          <w:color w:val="000000" w:themeColor="text1"/>
          <w:szCs w:val="24"/>
          <w:lang w:val="es-CO"/>
        </w:rPr>
        <w:t>Adicionar</w:t>
      </w:r>
      <w:r w:rsidRPr="00E21952">
        <w:rPr>
          <w:rFonts w:eastAsia="Arial" w:cs="Arial"/>
          <w:color w:val="000000" w:themeColor="text1"/>
          <w:szCs w:val="24"/>
          <w:lang w:val="es-CO"/>
        </w:rPr>
        <w:t xml:space="preserve"> el subnumeral </w:t>
      </w:r>
      <w:r w:rsidR="003366E8" w:rsidRPr="00E21952">
        <w:rPr>
          <w:rFonts w:eastAsia="Arial" w:cs="Arial"/>
          <w:color w:val="000000" w:themeColor="text1"/>
          <w:szCs w:val="24"/>
          <w:lang w:val="es-CO"/>
        </w:rPr>
        <w:t>4.</w:t>
      </w:r>
      <w:r w:rsidR="00A41681" w:rsidRPr="00E21952">
        <w:rPr>
          <w:rFonts w:eastAsia="Arial" w:cs="Arial"/>
          <w:color w:val="000000" w:themeColor="text1"/>
          <w:szCs w:val="24"/>
          <w:lang w:val="es-CO"/>
        </w:rPr>
        <w:t>2</w:t>
      </w:r>
      <w:r w:rsidR="00A249A3" w:rsidRPr="00E21952">
        <w:rPr>
          <w:rFonts w:eastAsia="Arial" w:cs="Arial"/>
          <w:color w:val="000000" w:themeColor="text1"/>
          <w:szCs w:val="24"/>
          <w:lang w:val="es-CO"/>
        </w:rPr>
        <w:t>.</w:t>
      </w:r>
      <w:r w:rsidR="003366E8" w:rsidRPr="00E21952">
        <w:rPr>
          <w:rFonts w:eastAsia="Arial" w:cs="Arial"/>
          <w:color w:val="000000" w:themeColor="text1"/>
          <w:szCs w:val="24"/>
          <w:lang w:val="es-CO"/>
        </w:rPr>
        <w:t xml:space="preserve"> </w:t>
      </w:r>
      <w:r w:rsidR="00A41681" w:rsidRPr="00E21952">
        <w:rPr>
          <w:rFonts w:eastAsia="Arial" w:cs="Arial"/>
          <w:color w:val="000000" w:themeColor="text1"/>
          <w:szCs w:val="24"/>
          <w:lang w:val="es-CO"/>
        </w:rPr>
        <w:t>al</w:t>
      </w:r>
      <w:r w:rsidR="003366E8" w:rsidRPr="00E21952">
        <w:rPr>
          <w:rFonts w:eastAsia="Arial" w:cs="Arial"/>
          <w:color w:val="000000" w:themeColor="text1"/>
          <w:szCs w:val="24"/>
          <w:lang w:val="es-CO"/>
        </w:rPr>
        <w:t xml:space="preserve"> </w:t>
      </w:r>
      <w:r w:rsidR="001F5C32" w:rsidRPr="00E21952">
        <w:rPr>
          <w:rFonts w:eastAsia="Arial" w:cs="Arial"/>
          <w:color w:val="000000" w:themeColor="text1"/>
          <w:szCs w:val="24"/>
          <w:lang w:val="es-CO"/>
        </w:rPr>
        <w:t xml:space="preserve">Capítulo I del Título V de la Parte III de la Circular Básica Jurídica </w:t>
      </w:r>
      <w:r w:rsidR="001F5C32" w:rsidRPr="00E21952">
        <w:rPr>
          <w:rFonts w:cs="Arial"/>
          <w:color w:val="000000" w:themeColor="text1"/>
          <w:shd w:val="clear" w:color="auto" w:fill="FFFFFF"/>
        </w:rPr>
        <w:t>«</w:t>
      </w:r>
      <w:r w:rsidR="001F5C32" w:rsidRPr="00E21952">
        <w:rPr>
          <w:rFonts w:eastAsia="Arial" w:cs="Arial"/>
          <w:i/>
          <w:iCs/>
          <w:color w:val="000000" w:themeColor="text1"/>
          <w:szCs w:val="24"/>
          <w:lang w:val="es-CO"/>
        </w:rPr>
        <w:t>Registro Nacional de Valores y Emisores – RNVE</w:t>
      </w:r>
      <w:r w:rsidR="001F5C32" w:rsidRPr="00E21952">
        <w:rPr>
          <w:rFonts w:cs="Arial"/>
          <w:color w:val="000000" w:themeColor="text1"/>
          <w:shd w:val="clear" w:color="auto" w:fill="FFFFFF"/>
        </w:rPr>
        <w:t>»</w:t>
      </w:r>
      <w:r w:rsidR="008E5FD8" w:rsidRPr="00E21952">
        <w:rPr>
          <w:rFonts w:cs="Arial"/>
          <w:color w:val="000000" w:themeColor="text1"/>
          <w:shd w:val="clear" w:color="auto" w:fill="FFFFFF"/>
        </w:rPr>
        <w:t>,</w:t>
      </w:r>
      <w:r w:rsidR="00D664AC" w:rsidRPr="00E21952">
        <w:rPr>
          <w:rFonts w:cs="Arial"/>
          <w:color w:val="000000" w:themeColor="text1"/>
          <w:shd w:val="clear" w:color="auto" w:fill="FFFFFF"/>
        </w:rPr>
        <w:t xml:space="preserve"> para </w:t>
      </w:r>
      <w:r w:rsidR="00AD3473" w:rsidRPr="00E21952">
        <w:rPr>
          <w:rFonts w:cs="Arial"/>
          <w:color w:val="000000" w:themeColor="text1"/>
          <w:shd w:val="clear" w:color="auto" w:fill="FFFFFF"/>
        </w:rPr>
        <w:t xml:space="preserve">definir las </w:t>
      </w:r>
      <w:r w:rsidR="00FB59D7" w:rsidRPr="00E21952">
        <w:rPr>
          <w:rFonts w:cs="Arial"/>
          <w:color w:val="000000" w:themeColor="text1"/>
          <w:shd w:val="clear" w:color="auto" w:fill="FFFFFF"/>
        </w:rPr>
        <w:t xml:space="preserve">reglas </w:t>
      </w:r>
      <w:r w:rsidR="00C46F75" w:rsidRPr="00E21952">
        <w:rPr>
          <w:rFonts w:cs="Arial"/>
          <w:color w:val="000000" w:themeColor="text1"/>
          <w:shd w:val="clear" w:color="auto" w:fill="FFFFFF"/>
        </w:rPr>
        <w:t xml:space="preserve">para </w:t>
      </w:r>
      <w:r w:rsidR="00E21952">
        <w:rPr>
          <w:rFonts w:cs="Arial"/>
          <w:color w:val="000000" w:themeColor="text1"/>
          <w:shd w:val="clear" w:color="auto" w:fill="FFFFFF"/>
        </w:rPr>
        <w:t xml:space="preserve">el envío </w:t>
      </w:r>
      <w:r w:rsidR="00C46F75" w:rsidRPr="00E21952">
        <w:rPr>
          <w:rFonts w:cs="Arial"/>
          <w:color w:val="000000" w:themeColor="text1"/>
          <w:shd w:val="clear" w:color="auto" w:fill="FFFFFF"/>
        </w:rPr>
        <w:t xml:space="preserve">de la información de los emisores del segundo mercado </w:t>
      </w:r>
      <w:r w:rsidR="00E21952">
        <w:rPr>
          <w:rFonts w:cs="Arial"/>
          <w:color w:val="000000" w:themeColor="text1"/>
          <w:shd w:val="clear" w:color="auto" w:fill="FFFFFF"/>
        </w:rPr>
        <w:t>a esta Superintendencia.</w:t>
      </w:r>
    </w:p>
    <w:p w14:paraId="00AD5965" w14:textId="77777777" w:rsidR="00DF6B31" w:rsidRPr="00FE1D9A" w:rsidRDefault="00DF6B31" w:rsidP="00DF6B31">
      <w:pPr>
        <w:tabs>
          <w:tab w:val="left" w:pos="4946"/>
        </w:tabs>
        <w:adjustRightInd w:val="0"/>
        <w:jc w:val="both"/>
        <w:rPr>
          <w:rFonts w:ascii="Arial" w:hAnsi="Arial" w:cs="Arial"/>
          <w:sz w:val="24"/>
          <w:szCs w:val="24"/>
          <w:lang w:val="es-CO"/>
        </w:rPr>
      </w:pPr>
    </w:p>
    <w:p w14:paraId="154B26AD" w14:textId="28A05AC1" w:rsidR="00DF6B31" w:rsidRDefault="00847CE7" w:rsidP="00DF6B31">
      <w:pPr>
        <w:adjustRightInd w:val="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bCs/>
          <w:sz w:val="24"/>
          <w:szCs w:val="24"/>
          <w:lang w:val="es-CO"/>
        </w:rPr>
        <w:t>CUARTA</w:t>
      </w:r>
      <w:r w:rsidR="00DF6B31" w:rsidRPr="00FE1D9A">
        <w:rPr>
          <w:rFonts w:ascii="Arial" w:hAnsi="Arial" w:cs="Arial"/>
          <w:b/>
          <w:bCs/>
          <w:sz w:val="24"/>
          <w:szCs w:val="24"/>
          <w:lang w:val="es-CO"/>
        </w:rPr>
        <w:t>. Régimen de transición</w:t>
      </w:r>
      <w:r w:rsidR="00DF6B31" w:rsidRPr="00D40117">
        <w:rPr>
          <w:rFonts w:ascii="Arial" w:hAnsi="Arial" w:cs="Arial"/>
          <w:sz w:val="24"/>
          <w:szCs w:val="24"/>
          <w:lang w:val="es-CO"/>
        </w:rPr>
        <w:t xml:space="preserve">: </w:t>
      </w:r>
      <w:r w:rsidR="00B25480">
        <w:rPr>
          <w:rFonts w:ascii="Arial" w:hAnsi="Arial" w:cs="Arial"/>
          <w:sz w:val="24"/>
          <w:szCs w:val="24"/>
          <w:lang w:val="es-CO"/>
        </w:rPr>
        <w:t>En virtud de lo</w:t>
      </w:r>
      <w:r w:rsidR="00E7020B">
        <w:rPr>
          <w:rFonts w:ascii="Arial" w:hAnsi="Arial" w:cs="Arial"/>
          <w:sz w:val="24"/>
          <w:szCs w:val="24"/>
          <w:lang w:val="es-CO"/>
        </w:rPr>
        <w:t xml:space="preserve"> dispuesto en el art</w:t>
      </w:r>
      <w:r w:rsidR="000C765A">
        <w:rPr>
          <w:rFonts w:ascii="Arial" w:hAnsi="Arial" w:cs="Arial"/>
          <w:sz w:val="24"/>
          <w:szCs w:val="24"/>
          <w:lang w:val="es-CO"/>
        </w:rPr>
        <w:t>ículo 7</w:t>
      </w:r>
      <w:r w:rsidR="00E7020B">
        <w:rPr>
          <w:rFonts w:ascii="Arial" w:hAnsi="Arial" w:cs="Arial"/>
          <w:sz w:val="24"/>
          <w:szCs w:val="24"/>
          <w:lang w:val="es-CO"/>
        </w:rPr>
        <w:t xml:space="preserve"> del Decreto 151 de 2021, l</w:t>
      </w:r>
      <w:r w:rsidR="00DF6B31" w:rsidRPr="00D40117">
        <w:rPr>
          <w:rFonts w:ascii="Arial" w:hAnsi="Arial" w:cs="Arial"/>
          <w:sz w:val="24"/>
          <w:szCs w:val="24"/>
          <w:lang w:val="es-CO"/>
        </w:rPr>
        <w:t xml:space="preserve">os emisores deberán transmitir el informe periódico de fin de ejercicio y el informe periódico trimestral </w:t>
      </w:r>
      <w:r w:rsidR="008C7E40">
        <w:rPr>
          <w:rFonts w:ascii="Arial" w:hAnsi="Arial" w:cs="Arial"/>
          <w:sz w:val="24"/>
          <w:szCs w:val="24"/>
          <w:lang w:val="es-CO"/>
        </w:rPr>
        <w:t>al</w:t>
      </w:r>
      <w:r w:rsidR="00DF6B31" w:rsidRPr="00D40117">
        <w:rPr>
          <w:rFonts w:ascii="Arial" w:hAnsi="Arial" w:cs="Arial"/>
          <w:sz w:val="24"/>
          <w:szCs w:val="24"/>
          <w:lang w:val="es-CO"/>
        </w:rPr>
        <w:t xml:space="preserve"> RNVE </w:t>
      </w:r>
      <w:r w:rsidR="00C74EFA">
        <w:rPr>
          <w:rFonts w:ascii="Arial" w:hAnsi="Arial" w:cs="Arial"/>
          <w:sz w:val="24"/>
          <w:szCs w:val="24"/>
          <w:lang w:val="es-CO"/>
        </w:rPr>
        <w:t>a partir del 1</w:t>
      </w:r>
      <w:r w:rsidR="00C90174">
        <w:rPr>
          <w:rFonts w:ascii="Arial" w:hAnsi="Arial" w:cs="Arial"/>
          <w:sz w:val="24"/>
          <w:szCs w:val="24"/>
          <w:lang w:val="es-CO"/>
        </w:rPr>
        <w:t>0 de febrero</w:t>
      </w:r>
      <w:r w:rsidR="00C74EFA">
        <w:rPr>
          <w:rFonts w:ascii="Arial" w:hAnsi="Arial" w:cs="Arial"/>
          <w:sz w:val="24"/>
          <w:szCs w:val="24"/>
          <w:lang w:val="es-CO"/>
        </w:rPr>
        <w:t xml:space="preserve"> </w:t>
      </w:r>
      <w:r w:rsidR="00C90174">
        <w:rPr>
          <w:rFonts w:ascii="Arial" w:hAnsi="Arial" w:cs="Arial"/>
          <w:sz w:val="24"/>
          <w:szCs w:val="24"/>
          <w:lang w:val="es-CO"/>
        </w:rPr>
        <w:t>de</w:t>
      </w:r>
      <w:r w:rsidR="00DF6B31" w:rsidRPr="00D40117">
        <w:rPr>
          <w:rFonts w:ascii="Arial" w:hAnsi="Arial" w:cs="Arial"/>
          <w:sz w:val="24"/>
          <w:szCs w:val="24"/>
          <w:lang w:val="es-CO"/>
        </w:rPr>
        <w:t xml:space="preserve"> 2023</w:t>
      </w:r>
      <w:r w:rsidR="00E26ECB">
        <w:rPr>
          <w:rFonts w:ascii="Arial" w:hAnsi="Arial" w:cs="Arial"/>
          <w:sz w:val="24"/>
          <w:szCs w:val="24"/>
          <w:lang w:val="es-CO"/>
        </w:rPr>
        <w:t>,</w:t>
      </w:r>
      <w:r w:rsidR="00D40117" w:rsidRPr="00846611">
        <w:rPr>
          <w:rFonts w:ascii="Arial" w:hAnsi="Arial" w:cs="Arial"/>
          <w:sz w:val="24"/>
          <w:szCs w:val="24"/>
          <w:lang w:val="es-CO"/>
        </w:rPr>
        <w:t xml:space="preserve"> </w:t>
      </w:r>
      <w:r w:rsidR="00B711B7">
        <w:rPr>
          <w:rFonts w:ascii="Arial" w:hAnsi="Arial" w:cs="Arial"/>
          <w:sz w:val="24"/>
          <w:szCs w:val="24"/>
          <w:lang w:val="es-CO"/>
        </w:rPr>
        <w:t>de conformidad</w:t>
      </w:r>
      <w:r w:rsidR="00DF6B31" w:rsidRPr="00D40117">
        <w:rPr>
          <w:rFonts w:ascii="Arial" w:hAnsi="Arial" w:cs="Arial"/>
          <w:sz w:val="24"/>
          <w:szCs w:val="24"/>
          <w:lang w:val="es-CO"/>
        </w:rPr>
        <w:t xml:space="preserve"> </w:t>
      </w:r>
      <w:r w:rsidR="00B711B7">
        <w:rPr>
          <w:rFonts w:ascii="Arial" w:hAnsi="Arial" w:cs="Arial"/>
          <w:sz w:val="24"/>
          <w:szCs w:val="24"/>
          <w:lang w:val="es-CO"/>
        </w:rPr>
        <w:t>con</w:t>
      </w:r>
      <w:r w:rsidR="00B711B7" w:rsidRPr="00D40117">
        <w:rPr>
          <w:rFonts w:ascii="Arial" w:hAnsi="Arial" w:cs="Arial"/>
          <w:sz w:val="24"/>
          <w:szCs w:val="24"/>
          <w:lang w:val="es-CO"/>
        </w:rPr>
        <w:t xml:space="preserve"> </w:t>
      </w:r>
      <w:r w:rsidR="00DF6B31" w:rsidRPr="00D40117">
        <w:rPr>
          <w:rFonts w:ascii="Arial" w:hAnsi="Arial" w:cs="Arial"/>
          <w:sz w:val="24"/>
          <w:szCs w:val="24"/>
          <w:lang w:val="es-CO"/>
        </w:rPr>
        <w:t>los plazos e instrucciones establecidos en el numeral 6</w:t>
      </w:r>
      <w:r w:rsidR="004F167D" w:rsidRPr="00D40117">
        <w:rPr>
          <w:rFonts w:ascii="Arial" w:hAnsi="Arial" w:cs="Arial"/>
          <w:sz w:val="24"/>
          <w:szCs w:val="24"/>
          <w:lang w:val="es-CO"/>
        </w:rPr>
        <w:t>.</w:t>
      </w:r>
      <w:r w:rsidR="00DF6B31" w:rsidRPr="00D40117">
        <w:rPr>
          <w:rFonts w:ascii="Arial" w:hAnsi="Arial" w:cs="Arial"/>
          <w:sz w:val="24"/>
          <w:szCs w:val="24"/>
          <w:lang w:val="es-CO"/>
        </w:rPr>
        <w:t xml:space="preserve"> del Anexo </w:t>
      </w:r>
      <w:r w:rsidR="00357F64">
        <w:rPr>
          <w:rFonts w:ascii="Arial" w:hAnsi="Arial" w:cs="Arial"/>
          <w:sz w:val="24"/>
          <w:szCs w:val="24"/>
          <w:lang w:val="es-CO"/>
        </w:rPr>
        <w:t>1</w:t>
      </w:r>
      <w:r w:rsidR="00735974">
        <w:rPr>
          <w:rFonts w:ascii="Arial" w:hAnsi="Arial" w:cs="Arial"/>
          <w:sz w:val="24"/>
          <w:szCs w:val="24"/>
          <w:lang w:val="es-CO"/>
        </w:rPr>
        <w:t xml:space="preserve"> </w:t>
      </w:r>
      <w:r w:rsidR="00F14D4B">
        <w:rPr>
          <w:rFonts w:ascii="Arial" w:hAnsi="Arial" w:cs="Arial"/>
          <w:color w:val="202124"/>
          <w:shd w:val="clear" w:color="auto" w:fill="FFFFFF"/>
        </w:rPr>
        <w:t>«</w:t>
      </w:r>
      <w:r w:rsidR="00735974" w:rsidRPr="00302031">
        <w:rPr>
          <w:rFonts w:ascii="Arial" w:hAnsi="Arial" w:cs="Arial"/>
          <w:i/>
          <w:iCs/>
          <w:sz w:val="24"/>
          <w:szCs w:val="24"/>
        </w:rPr>
        <w:t>Información periódica de los emisores</w:t>
      </w:r>
      <w:r w:rsidR="00FB5206">
        <w:rPr>
          <w:rFonts w:ascii="Arial" w:hAnsi="Arial" w:cs="Arial"/>
          <w:color w:val="202124"/>
          <w:shd w:val="clear" w:color="auto" w:fill="FFFFFF"/>
        </w:rPr>
        <w:t>»</w:t>
      </w:r>
      <w:r w:rsidR="00735974">
        <w:rPr>
          <w:rFonts w:ascii="Arial" w:hAnsi="Arial" w:cs="Arial"/>
          <w:sz w:val="24"/>
          <w:szCs w:val="24"/>
        </w:rPr>
        <w:t xml:space="preserve"> </w:t>
      </w:r>
      <w:r w:rsidR="00DF6B31" w:rsidRPr="00D40117">
        <w:rPr>
          <w:rFonts w:ascii="Arial" w:hAnsi="Arial" w:cs="Arial"/>
          <w:sz w:val="24"/>
          <w:szCs w:val="24"/>
          <w:lang w:val="es-CO"/>
        </w:rPr>
        <w:t>del Capítulo I del Título V de la Parte III de la Circular Básica Jurídica</w:t>
      </w:r>
      <w:r w:rsidR="00D65414">
        <w:rPr>
          <w:rFonts w:ascii="Arial" w:hAnsi="Arial" w:cs="Arial"/>
          <w:sz w:val="24"/>
          <w:szCs w:val="24"/>
          <w:lang w:val="es-CO"/>
        </w:rPr>
        <w:t xml:space="preserve"> </w:t>
      </w:r>
      <w:r w:rsidR="00D65414" w:rsidRPr="00846611">
        <w:rPr>
          <w:rFonts w:ascii="Arial" w:hAnsi="Arial" w:cs="Arial"/>
          <w:i/>
          <w:iCs/>
          <w:sz w:val="24"/>
          <w:szCs w:val="24"/>
          <w:lang w:val="es-CO"/>
        </w:rPr>
        <w:t>«Registro Nacional de Valores y Emisores – RNVE»</w:t>
      </w:r>
      <w:r w:rsidR="00DF6B31" w:rsidRPr="00846611">
        <w:rPr>
          <w:rFonts w:ascii="Arial" w:hAnsi="Arial" w:cs="Arial"/>
          <w:i/>
          <w:iCs/>
          <w:sz w:val="24"/>
          <w:szCs w:val="24"/>
          <w:lang w:val="es-CO"/>
        </w:rPr>
        <w:t xml:space="preserve"> </w:t>
      </w:r>
      <w:r w:rsidR="00DF6B31" w:rsidRPr="00D40117">
        <w:rPr>
          <w:rFonts w:ascii="Arial" w:hAnsi="Arial" w:cs="Arial"/>
          <w:sz w:val="24"/>
          <w:szCs w:val="24"/>
          <w:lang w:val="es-CO"/>
        </w:rPr>
        <w:t>y lo previsto en la presente Circular.</w:t>
      </w:r>
    </w:p>
    <w:p w14:paraId="7F176A0D" w14:textId="77777777" w:rsidR="00DF6B31" w:rsidRPr="00FE1D9A" w:rsidRDefault="00DF6B31" w:rsidP="00DF6B31">
      <w:pPr>
        <w:adjustRightInd w:val="0"/>
        <w:jc w:val="both"/>
        <w:rPr>
          <w:rFonts w:ascii="Arial" w:hAnsi="Arial" w:cs="Arial"/>
          <w:sz w:val="24"/>
          <w:szCs w:val="24"/>
          <w:lang w:val="es-CO"/>
        </w:rPr>
      </w:pPr>
    </w:p>
    <w:p w14:paraId="09B0CFD3" w14:textId="77777777" w:rsidR="005B3868" w:rsidRDefault="005B3868" w:rsidP="00DF6B31">
      <w:pPr>
        <w:adjustRightInd w:val="0"/>
        <w:jc w:val="both"/>
        <w:rPr>
          <w:rFonts w:ascii="Arial" w:hAnsi="Arial" w:cs="Arial"/>
          <w:sz w:val="24"/>
          <w:szCs w:val="24"/>
          <w:lang w:val="es-CO"/>
        </w:rPr>
      </w:pPr>
    </w:p>
    <w:p w14:paraId="25A0C1C8" w14:textId="77777777" w:rsidR="005B3868" w:rsidRDefault="005B3868" w:rsidP="00DF6B31">
      <w:pPr>
        <w:adjustRightInd w:val="0"/>
        <w:jc w:val="both"/>
        <w:rPr>
          <w:rFonts w:ascii="Arial" w:hAnsi="Arial" w:cs="Arial"/>
          <w:sz w:val="24"/>
          <w:szCs w:val="24"/>
          <w:lang w:val="es-CO"/>
        </w:rPr>
      </w:pPr>
    </w:p>
    <w:p w14:paraId="6CE86BBB" w14:textId="77777777" w:rsidR="00322884" w:rsidRDefault="00322884" w:rsidP="00AE00EF">
      <w:pPr>
        <w:adjustRightInd w:val="0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6FB45142" w14:textId="1222B48A" w:rsidR="00AE00EF" w:rsidRPr="00FE1D9A" w:rsidRDefault="008811A2" w:rsidP="00AE00EF">
      <w:pPr>
        <w:adjustRightInd w:val="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bCs/>
          <w:sz w:val="24"/>
          <w:szCs w:val="24"/>
          <w:lang w:val="es-CO"/>
        </w:rPr>
        <w:t>QUINTA</w:t>
      </w:r>
      <w:r w:rsidR="00DF6B31" w:rsidRPr="00C05D07">
        <w:rPr>
          <w:rFonts w:ascii="Arial" w:hAnsi="Arial" w:cs="Arial"/>
          <w:b/>
          <w:bCs/>
          <w:sz w:val="24"/>
          <w:szCs w:val="24"/>
          <w:lang w:val="es-CO"/>
        </w:rPr>
        <w:t>. Plan de implementación</w:t>
      </w:r>
      <w:r w:rsidR="00DF6B31" w:rsidRPr="00C05D07">
        <w:rPr>
          <w:rFonts w:ascii="Arial" w:hAnsi="Arial" w:cs="Arial"/>
          <w:sz w:val="24"/>
          <w:szCs w:val="24"/>
          <w:lang w:val="es-CO"/>
        </w:rPr>
        <w:t xml:space="preserve">: Los emisores deberán remitir a esta Superintendencia, a más tardar </w:t>
      </w:r>
      <w:r w:rsidR="00DF6B31" w:rsidRPr="009377A3">
        <w:rPr>
          <w:rFonts w:ascii="Arial" w:hAnsi="Arial" w:cs="Arial"/>
          <w:sz w:val="24"/>
          <w:szCs w:val="24"/>
          <w:lang w:val="es-CO"/>
        </w:rPr>
        <w:t xml:space="preserve">el </w:t>
      </w:r>
      <w:r w:rsidR="00DF6B31" w:rsidRPr="00846611">
        <w:rPr>
          <w:rFonts w:ascii="Arial" w:hAnsi="Arial" w:cs="Arial"/>
          <w:sz w:val="24"/>
          <w:szCs w:val="24"/>
          <w:lang w:val="es-CO"/>
        </w:rPr>
        <w:t>0</w:t>
      </w:r>
      <w:r w:rsidR="008C0337">
        <w:rPr>
          <w:rFonts w:ascii="Arial" w:hAnsi="Arial" w:cs="Arial"/>
          <w:sz w:val="24"/>
          <w:szCs w:val="24"/>
          <w:lang w:val="es-CO"/>
        </w:rPr>
        <w:t>3</w:t>
      </w:r>
      <w:r w:rsidR="00DF6B31" w:rsidRPr="00846611">
        <w:rPr>
          <w:rFonts w:ascii="Arial" w:hAnsi="Arial" w:cs="Arial"/>
          <w:sz w:val="24"/>
          <w:szCs w:val="24"/>
          <w:lang w:val="es-CO"/>
        </w:rPr>
        <w:t xml:space="preserve"> de </w:t>
      </w:r>
      <w:r w:rsidR="008C0C06" w:rsidRPr="00846611">
        <w:rPr>
          <w:rFonts w:ascii="Arial" w:hAnsi="Arial" w:cs="Arial"/>
          <w:sz w:val="24"/>
          <w:szCs w:val="24"/>
          <w:lang w:val="es-CO"/>
        </w:rPr>
        <w:t xml:space="preserve">octubre </w:t>
      </w:r>
      <w:r w:rsidR="00DF6B31" w:rsidRPr="00846611">
        <w:rPr>
          <w:rFonts w:ascii="Arial" w:hAnsi="Arial" w:cs="Arial"/>
          <w:sz w:val="24"/>
          <w:szCs w:val="24"/>
          <w:lang w:val="es-CO"/>
        </w:rPr>
        <w:t>de 2022</w:t>
      </w:r>
      <w:r w:rsidR="00DF6B31" w:rsidRPr="009377A3">
        <w:rPr>
          <w:rFonts w:ascii="Arial" w:hAnsi="Arial" w:cs="Arial"/>
          <w:sz w:val="24"/>
          <w:szCs w:val="24"/>
          <w:lang w:val="es-CO"/>
        </w:rPr>
        <w:t>,</w:t>
      </w:r>
      <w:r w:rsidR="00DF6B31" w:rsidRPr="00C05D07">
        <w:rPr>
          <w:rFonts w:ascii="Arial" w:hAnsi="Arial" w:cs="Arial"/>
          <w:sz w:val="24"/>
          <w:szCs w:val="24"/>
          <w:lang w:val="es-CO"/>
        </w:rPr>
        <w:t xml:space="preserve"> </w:t>
      </w:r>
      <w:r w:rsidR="002B6A63" w:rsidRPr="00C05D07">
        <w:rPr>
          <w:rFonts w:ascii="Arial" w:hAnsi="Arial" w:cs="Arial"/>
          <w:sz w:val="24"/>
          <w:szCs w:val="24"/>
          <w:lang w:val="es-CO"/>
        </w:rPr>
        <w:t>un</w:t>
      </w:r>
      <w:r w:rsidR="00DF6B31" w:rsidRPr="00C05D07">
        <w:rPr>
          <w:rFonts w:ascii="Arial" w:hAnsi="Arial" w:cs="Arial"/>
          <w:sz w:val="24"/>
          <w:szCs w:val="24"/>
          <w:lang w:val="es-CO"/>
        </w:rPr>
        <w:t xml:space="preserve"> plan de implementación</w:t>
      </w:r>
      <w:r w:rsidR="002F688F">
        <w:rPr>
          <w:rFonts w:ascii="Arial" w:hAnsi="Arial" w:cs="Arial"/>
          <w:sz w:val="24"/>
          <w:szCs w:val="24"/>
          <w:lang w:val="es-CO"/>
        </w:rPr>
        <w:t xml:space="preserve"> que </w:t>
      </w:r>
      <w:r w:rsidR="000104BC">
        <w:rPr>
          <w:rFonts w:ascii="Arial" w:hAnsi="Arial" w:cs="Arial"/>
          <w:sz w:val="24"/>
          <w:szCs w:val="24"/>
          <w:lang w:val="es-CO"/>
        </w:rPr>
        <w:t>contenga</w:t>
      </w:r>
      <w:r w:rsidR="00AE00EF">
        <w:rPr>
          <w:rFonts w:ascii="Arial" w:hAnsi="Arial" w:cs="Arial"/>
          <w:sz w:val="24"/>
          <w:szCs w:val="24"/>
          <w:lang w:val="es-CO"/>
        </w:rPr>
        <w:t xml:space="preserve">, </w:t>
      </w:r>
      <w:r w:rsidR="00FD7BA8">
        <w:rPr>
          <w:rFonts w:ascii="Arial" w:hAnsi="Arial" w:cs="Arial"/>
          <w:sz w:val="24"/>
          <w:szCs w:val="24"/>
          <w:lang w:val="es-CO"/>
        </w:rPr>
        <w:t>por lo menos</w:t>
      </w:r>
      <w:r w:rsidR="00AE00EF">
        <w:rPr>
          <w:rFonts w:ascii="Arial" w:hAnsi="Arial" w:cs="Arial"/>
          <w:sz w:val="24"/>
          <w:szCs w:val="24"/>
          <w:lang w:val="es-CO"/>
        </w:rPr>
        <w:t xml:space="preserve">, </w:t>
      </w:r>
      <w:r w:rsidR="00AE00EF" w:rsidRPr="00C05D07">
        <w:rPr>
          <w:rFonts w:ascii="Arial" w:hAnsi="Arial" w:cs="Arial"/>
          <w:sz w:val="24"/>
          <w:szCs w:val="24"/>
          <w:lang w:val="es-CO"/>
        </w:rPr>
        <w:t xml:space="preserve">las actividades específicas </w:t>
      </w:r>
      <w:r w:rsidR="00FD7BA8">
        <w:rPr>
          <w:rFonts w:ascii="Arial" w:hAnsi="Arial" w:cs="Arial"/>
          <w:sz w:val="24"/>
          <w:szCs w:val="24"/>
          <w:lang w:val="es-CO"/>
        </w:rPr>
        <w:t>para dar cumplimiento efectivo a</w:t>
      </w:r>
      <w:r w:rsidR="00AE00EF" w:rsidRPr="00C05D07">
        <w:rPr>
          <w:rFonts w:ascii="Arial" w:hAnsi="Arial" w:cs="Arial"/>
          <w:sz w:val="24"/>
          <w:szCs w:val="24"/>
          <w:lang w:val="es-CO"/>
        </w:rPr>
        <w:t xml:space="preserve"> las </w:t>
      </w:r>
      <w:r w:rsidR="00FD7BA8">
        <w:rPr>
          <w:rFonts w:ascii="Arial" w:hAnsi="Arial" w:cs="Arial"/>
          <w:sz w:val="24"/>
          <w:szCs w:val="24"/>
          <w:lang w:val="es-CO"/>
        </w:rPr>
        <w:t>instrucciones</w:t>
      </w:r>
      <w:r w:rsidR="00FD7BA8" w:rsidRPr="00C05D07">
        <w:rPr>
          <w:rFonts w:ascii="Arial" w:hAnsi="Arial" w:cs="Arial"/>
          <w:sz w:val="24"/>
          <w:szCs w:val="24"/>
          <w:lang w:val="es-CO"/>
        </w:rPr>
        <w:t xml:space="preserve"> </w:t>
      </w:r>
      <w:r w:rsidR="00AE00EF" w:rsidRPr="00C05D07">
        <w:rPr>
          <w:rFonts w:ascii="Arial" w:hAnsi="Arial" w:cs="Arial"/>
          <w:sz w:val="24"/>
          <w:szCs w:val="24"/>
          <w:lang w:val="es-CO"/>
        </w:rPr>
        <w:t>previstas en la presente</w:t>
      </w:r>
      <w:r w:rsidR="0018298C">
        <w:rPr>
          <w:rFonts w:ascii="Arial" w:hAnsi="Arial" w:cs="Arial"/>
          <w:sz w:val="24"/>
          <w:szCs w:val="24"/>
          <w:lang w:val="es-CO"/>
        </w:rPr>
        <w:t xml:space="preserve"> Circular</w:t>
      </w:r>
      <w:r w:rsidR="00AE00EF">
        <w:rPr>
          <w:rFonts w:ascii="Arial" w:hAnsi="Arial" w:cs="Arial"/>
          <w:sz w:val="24"/>
          <w:szCs w:val="24"/>
          <w:lang w:val="es-CO"/>
        </w:rPr>
        <w:t xml:space="preserve">, </w:t>
      </w:r>
      <w:r w:rsidR="00F733FF">
        <w:rPr>
          <w:rFonts w:ascii="Arial" w:hAnsi="Arial" w:cs="Arial"/>
          <w:sz w:val="24"/>
          <w:szCs w:val="24"/>
          <w:lang w:val="es-CO"/>
        </w:rPr>
        <w:t>sus</w:t>
      </w:r>
      <w:r w:rsidR="00AE00EF">
        <w:rPr>
          <w:rFonts w:ascii="Arial" w:hAnsi="Arial" w:cs="Arial"/>
          <w:sz w:val="24"/>
          <w:szCs w:val="24"/>
          <w:lang w:val="es-CO"/>
        </w:rPr>
        <w:t xml:space="preserve"> responsable</w:t>
      </w:r>
      <w:r w:rsidR="00A434D9">
        <w:rPr>
          <w:rFonts w:ascii="Arial" w:hAnsi="Arial" w:cs="Arial"/>
          <w:sz w:val="24"/>
          <w:szCs w:val="24"/>
          <w:lang w:val="es-CO"/>
        </w:rPr>
        <w:t>s</w:t>
      </w:r>
      <w:r w:rsidR="00AE00EF">
        <w:rPr>
          <w:rFonts w:ascii="Arial" w:hAnsi="Arial" w:cs="Arial"/>
          <w:sz w:val="24"/>
          <w:szCs w:val="24"/>
          <w:lang w:val="es-CO"/>
        </w:rPr>
        <w:t xml:space="preserve"> y </w:t>
      </w:r>
      <w:r w:rsidR="000104BC">
        <w:rPr>
          <w:rFonts w:ascii="Arial" w:hAnsi="Arial" w:cs="Arial"/>
          <w:sz w:val="24"/>
          <w:szCs w:val="24"/>
          <w:lang w:val="es-CO"/>
        </w:rPr>
        <w:t>un cronograma de ejecución.</w:t>
      </w:r>
    </w:p>
    <w:p w14:paraId="654C9392" w14:textId="2421C78A" w:rsidR="008E3CD9" w:rsidRDefault="008E3CD9">
      <w:pPr>
        <w:adjustRightInd w:val="0"/>
        <w:jc w:val="both"/>
        <w:rPr>
          <w:rFonts w:ascii="Arial" w:hAnsi="Arial" w:cs="Arial"/>
          <w:sz w:val="24"/>
          <w:szCs w:val="24"/>
          <w:lang w:val="es-CO"/>
        </w:rPr>
      </w:pPr>
    </w:p>
    <w:p w14:paraId="631F3328" w14:textId="11C3B6BA" w:rsidR="008E3CD9" w:rsidRDefault="008E3CD9" w:rsidP="008E3CD9">
      <w:pPr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846611">
        <w:rPr>
          <w:rFonts w:ascii="Arial" w:hAnsi="Arial" w:cs="Arial"/>
          <w:b/>
          <w:bCs/>
          <w:sz w:val="24"/>
          <w:szCs w:val="24"/>
          <w:lang w:val="es-CO"/>
        </w:rPr>
        <w:t>SEXTA: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Derogar </w:t>
      </w:r>
      <w:r w:rsidR="00FD7BA8">
        <w:rPr>
          <w:rFonts w:ascii="Arial" w:hAnsi="Arial" w:cs="Arial"/>
          <w:bCs/>
          <w:sz w:val="24"/>
          <w:szCs w:val="24"/>
        </w:rPr>
        <w:t xml:space="preserve">a partir del 10 de febrero de 2023 </w:t>
      </w:r>
      <w:r>
        <w:rPr>
          <w:rFonts w:ascii="Arial" w:hAnsi="Arial" w:cs="Arial"/>
          <w:bCs/>
          <w:sz w:val="24"/>
          <w:szCs w:val="24"/>
        </w:rPr>
        <w:t>el Anexo I</w:t>
      </w:r>
      <w:r w:rsidRPr="00F14D4B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«</w:t>
      </w:r>
      <w:r w:rsidRPr="00437A20">
        <w:rPr>
          <w:rFonts w:ascii="Arial" w:hAnsi="Arial" w:cs="Arial"/>
          <w:bCs/>
          <w:i/>
          <w:iCs/>
          <w:sz w:val="24"/>
          <w:szCs w:val="24"/>
        </w:rPr>
        <w:t>Manual Actualización de Información Básica de Emisores</w:t>
      </w:r>
      <w:r>
        <w:rPr>
          <w:rFonts w:ascii="Arial" w:hAnsi="Arial" w:cs="Arial"/>
          <w:color w:val="202124"/>
          <w:shd w:val="clear" w:color="auto" w:fill="FFFFFF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 del </w:t>
      </w:r>
      <w:r w:rsidRPr="00FE1D9A">
        <w:rPr>
          <w:rFonts w:ascii="Arial" w:hAnsi="Arial" w:cs="Arial"/>
          <w:sz w:val="24"/>
          <w:szCs w:val="24"/>
        </w:rPr>
        <w:t>Capítulo I del Título V de la Parte III de la Circular Básica Jurídica</w:t>
      </w:r>
      <w:r w:rsidR="00DC1E1A">
        <w:rPr>
          <w:rFonts w:ascii="Arial" w:hAnsi="Arial" w:cs="Arial"/>
          <w:sz w:val="24"/>
          <w:szCs w:val="24"/>
        </w:rPr>
        <w:t xml:space="preserve"> </w:t>
      </w:r>
      <w:r w:rsidR="00DC1E1A" w:rsidRPr="00846611">
        <w:rPr>
          <w:rFonts w:ascii="Arial" w:hAnsi="Arial" w:cs="Arial"/>
          <w:i/>
          <w:iCs/>
          <w:sz w:val="24"/>
          <w:szCs w:val="24"/>
        </w:rPr>
        <w:t>«Registro Nacional de Valores y Emisores – RNVE»</w:t>
      </w:r>
      <w:r w:rsidRPr="00846611">
        <w:rPr>
          <w:rFonts w:ascii="Arial" w:hAnsi="Arial" w:cs="Arial"/>
          <w:i/>
          <w:iCs/>
          <w:sz w:val="24"/>
          <w:szCs w:val="24"/>
        </w:rPr>
        <w:t>.</w:t>
      </w:r>
    </w:p>
    <w:p w14:paraId="71948762" w14:textId="77777777" w:rsidR="00DF6B31" w:rsidRPr="00FE1D9A" w:rsidRDefault="00DF6B31" w:rsidP="00846611">
      <w:pPr>
        <w:adjustRightInd w:val="0"/>
        <w:jc w:val="both"/>
        <w:rPr>
          <w:rFonts w:eastAsia="Arial"/>
          <w:lang w:val="es-CO"/>
        </w:rPr>
      </w:pPr>
    </w:p>
    <w:p w14:paraId="6A1AC19F" w14:textId="77777777" w:rsidR="00DF6B31" w:rsidRPr="00FE1D9A" w:rsidRDefault="00DF6B31" w:rsidP="00DF6B31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  <w:r w:rsidRPr="00FE1D9A">
        <w:rPr>
          <w:rFonts w:eastAsia="Arial" w:cs="Arial"/>
          <w:color w:val="000000" w:themeColor="text1"/>
          <w:szCs w:val="24"/>
          <w:lang w:val="es-CO"/>
        </w:rPr>
        <w:t>La presente Circular rige a partir de su publicación.</w:t>
      </w:r>
    </w:p>
    <w:p w14:paraId="4E1AB316" w14:textId="77777777" w:rsidR="009C7465" w:rsidRPr="00FE1D9A" w:rsidRDefault="009C7465" w:rsidP="00DF6B31">
      <w:pPr>
        <w:pStyle w:val="Default"/>
        <w:autoSpaceDE/>
        <w:adjustRightInd/>
        <w:jc w:val="both"/>
      </w:pPr>
    </w:p>
    <w:p w14:paraId="797AB268" w14:textId="77777777" w:rsidR="00DF6B31" w:rsidRPr="00FE1D9A" w:rsidRDefault="00DF6B31" w:rsidP="00DF6B31">
      <w:pPr>
        <w:pStyle w:val="Default"/>
        <w:autoSpaceDE/>
        <w:adjustRightInd/>
        <w:jc w:val="both"/>
      </w:pPr>
      <w:r w:rsidRPr="00FE1D9A">
        <w:t>Se anexan las páginas objeto de modificación.</w:t>
      </w:r>
    </w:p>
    <w:p w14:paraId="731B27DB" w14:textId="77777777" w:rsidR="00DF6B31" w:rsidRPr="00FE1D9A" w:rsidRDefault="00DF6B31" w:rsidP="00DF6B31">
      <w:pPr>
        <w:pStyle w:val="Default"/>
        <w:autoSpaceDE/>
        <w:adjustRightInd/>
        <w:jc w:val="both"/>
      </w:pPr>
    </w:p>
    <w:p w14:paraId="73D4E1EF" w14:textId="77777777" w:rsidR="00DF6B31" w:rsidRPr="00FE1D9A" w:rsidRDefault="00DF6B31" w:rsidP="00DF6B31">
      <w:pPr>
        <w:pStyle w:val="Default"/>
        <w:autoSpaceDE/>
        <w:adjustRightInd/>
        <w:jc w:val="both"/>
      </w:pPr>
      <w:r w:rsidRPr="00FE1D9A">
        <w:t>Cordialmente,</w:t>
      </w:r>
    </w:p>
    <w:p w14:paraId="48EC84E3" w14:textId="1D891886" w:rsidR="00DF6B31" w:rsidRDefault="00DF6B31" w:rsidP="00DF6B31">
      <w:pPr>
        <w:jc w:val="both"/>
        <w:rPr>
          <w:rStyle w:val="nfasis"/>
          <w:rFonts w:ascii="Arial" w:hAnsi="Arial" w:cs="Arial"/>
          <w:b/>
          <w:bCs/>
          <w:i w:val="0"/>
          <w:iCs w:val="0"/>
          <w:sz w:val="24"/>
          <w:szCs w:val="24"/>
        </w:rPr>
      </w:pPr>
    </w:p>
    <w:p w14:paraId="2F7E851A" w14:textId="77777777" w:rsidR="00C42D9D" w:rsidRPr="00FE1D9A" w:rsidRDefault="00C42D9D" w:rsidP="00DF6B31">
      <w:pPr>
        <w:jc w:val="both"/>
        <w:rPr>
          <w:rStyle w:val="nfasis"/>
          <w:rFonts w:ascii="Arial" w:hAnsi="Arial" w:cs="Arial"/>
          <w:b/>
          <w:bCs/>
          <w:i w:val="0"/>
          <w:iCs w:val="0"/>
          <w:sz w:val="24"/>
          <w:szCs w:val="24"/>
        </w:rPr>
      </w:pPr>
    </w:p>
    <w:p w14:paraId="34B2C412" w14:textId="77777777" w:rsidR="00DF6B31" w:rsidRPr="00FE1D9A" w:rsidRDefault="00DF6B31" w:rsidP="00DF6B31">
      <w:pPr>
        <w:jc w:val="both"/>
        <w:rPr>
          <w:rStyle w:val="nfasis"/>
          <w:rFonts w:ascii="Arial" w:hAnsi="Arial" w:cs="Arial"/>
          <w:b/>
          <w:bCs/>
          <w:i w:val="0"/>
          <w:iCs w:val="0"/>
          <w:sz w:val="24"/>
          <w:szCs w:val="24"/>
        </w:rPr>
      </w:pPr>
    </w:p>
    <w:p w14:paraId="4918A494" w14:textId="77777777" w:rsidR="00DF6B31" w:rsidRPr="00FE1D9A" w:rsidRDefault="00DF6B31" w:rsidP="00DF6B31">
      <w:pPr>
        <w:jc w:val="both"/>
        <w:rPr>
          <w:rStyle w:val="nfasis"/>
          <w:rFonts w:ascii="Arial" w:hAnsi="Arial" w:cs="Arial"/>
          <w:b/>
          <w:bCs/>
          <w:i w:val="0"/>
          <w:iCs w:val="0"/>
          <w:sz w:val="24"/>
          <w:szCs w:val="24"/>
        </w:rPr>
      </w:pPr>
    </w:p>
    <w:p w14:paraId="516EAAE4" w14:textId="77777777" w:rsidR="00DF6B31" w:rsidRPr="00FE1D9A" w:rsidRDefault="00DF6B31" w:rsidP="00DF6B31">
      <w:pPr>
        <w:jc w:val="both"/>
        <w:rPr>
          <w:rStyle w:val="nfasis"/>
          <w:rFonts w:ascii="Arial" w:hAnsi="Arial" w:cs="Arial"/>
          <w:b/>
          <w:i w:val="0"/>
          <w:iCs w:val="0"/>
          <w:sz w:val="24"/>
          <w:szCs w:val="24"/>
        </w:rPr>
      </w:pPr>
      <w:r w:rsidRPr="00FE1D9A">
        <w:rPr>
          <w:rStyle w:val="nfasis"/>
          <w:rFonts w:ascii="Arial" w:hAnsi="Arial" w:cs="Arial"/>
          <w:b/>
          <w:i w:val="0"/>
          <w:iCs w:val="0"/>
          <w:sz w:val="24"/>
          <w:szCs w:val="24"/>
        </w:rPr>
        <w:t>JORGE CASTAÑO GUTIÉRREZ</w:t>
      </w:r>
    </w:p>
    <w:p w14:paraId="1D9EC09A" w14:textId="77777777" w:rsidR="00DF6B31" w:rsidRPr="00FE1D9A" w:rsidRDefault="00DF6B31" w:rsidP="00DF6B31">
      <w:pPr>
        <w:ind w:right="-160"/>
        <w:outlineLvl w:val="0"/>
        <w:rPr>
          <w:rFonts w:ascii="Arial" w:hAnsi="Arial" w:cs="Arial"/>
          <w:bCs/>
          <w:sz w:val="24"/>
          <w:szCs w:val="24"/>
          <w:lang w:val="es-ES"/>
        </w:rPr>
      </w:pPr>
      <w:r w:rsidRPr="00FE1D9A">
        <w:rPr>
          <w:rFonts w:ascii="Arial" w:hAnsi="Arial" w:cs="Arial"/>
          <w:bCs/>
          <w:sz w:val="24"/>
          <w:szCs w:val="24"/>
          <w:lang w:val="es-ES"/>
        </w:rPr>
        <w:t xml:space="preserve">Superintendente Financiero de Colombia </w:t>
      </w:r>
    </w:p>
    <w:p w14:paraId="6E4F8A44" w14:textId="77777777" w:rsidR="00DF6B31" w:rsidRPr="00FE1D9A" w:rsidRDefault="00DF6B31" w:rsidP="00DF6B31">
      <w:pPr>
        <w:ind w:right="-160"/>
        <w:outlineLvl w:val="0"/>
        <w:rPr>
          <w:bCs/>
          <w:lang w:val="es-ES"/>
        </w:rPr>
      </w:pPr>
      <w:r w:rsidRPr="00FE1D9A">
        <w:rPr>
          <w:rFonts w:ascii="Arial" w:hAnsi="Arial" w:cs="Arial"/>
          <w:szCs w:val="24"/>
          <w:lang w:val="es-ES"/>
        </w:rPr>
        <w:t>50000</w:t>
      </w:r>
    </w:p>
    <w:p w14:paraId="651A979D" w14:textId="48374684" w:rsidR="005269A9" w:rsidRPr="00FE1D9A" w:rsidRDefault="005269A9" w:rsidP="00DF6B31">
      <w:pPr>
        <w:jc w:val="center"/>
        <w:rPr>
          <w:rFonts w:cs="Arial"/>
          <w:b/>
          <w:bCs/>
          <w:sz w:val="22"/>
          <w:szCs w:val="22"/>
        </w:rPr>
      </w:pPr>
    </w:p>
    <w:sectPr w:rsidR="005269A9" w:rsidRPr="00FE1D9A" w:rsidSect="00F1035E">
      <w:headerReference w:type="default" r:id="rId11"/>
      <w:headerReference w:type="first" r:id="rId12"/>
      <w:pgSz w:w="12242" w:h="18722" w:code="14"/>
      <w:pgMar w:top="1417" w:right="1701" w:bottom="1417" w:left="1701" w:header="567" w:footer="624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294C" w14:textId="77777777" w:rsidR="00E060AC" w:rsidRDefault="00E060AC">
      <w:r>
        <w:separator/>
      </w:r>
    </w:p>
  </w:endnote>
  <w:endnote w:type="continuationSeparator" w:id="0">
    <w:p w14:paraId="78212407" w14:textId="77777777" w:rsidR="00E060AC" w:rsidRDefault="00E060AC">
      <w:r>
        <w:continuationSeparator/>
      </w:r>
    </w:p>
  </w:endnote>
  <w:endnote w:type="continuationNotice" w:id="1">
    <w:p w14:paraId="29158309" w14:textId="77777777" w:rsidR="00E060AC" w:rsidRDefault="00E06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1026" w14:textId="77777777" w:rsidR="00E060AC" w:rsidRDefault="00E060AC">
      <w:r>
        <w:separator/>
      </w:r>
    </w:p>
  </w:footnote>
  <w:footnote w:type="continuationSeparator" w:id="0">
    <w:p w14:paraId="1D8D0494" w14:textId="77777777" w:rsidR="00E060AC" w:rsidRDefault="00E060AC">
      <w:r>
        <w:continuationSeparator/>
      </w:r>
    </w:p>
  </w:footnote>
  <w:footnote w:type="continuationNotice" w:id="1">
    <w:p w14:paraId="71CB068F" w14:textId="77777777" w:rsidR="00E060AC" w:rsidRDefault="00E060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287D" w14:textId="77777777" w:rsidR="000155F6" w:rsidRDefault="00826B4C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SUPERINTENDENCIA FINANCIERA DE COLOMBIA</w:t>
    </w:r>
  </w:p>
  <w:p w14:paraId="6E2129C2" w14:textId="77777777" w:rsidR="000155F6" w:rsidRDefault="005A0562">
    <w:pPr>
      <w:pStyle w:val="Encabezado"/>
      <w:jc w:val="center"/>
      <w:rPr>
        <w:rFonts w:ascii="Arial" w:hAnsi="Arial" w:cs="Arial"/>
        <w:b/>
        <w:bCs/>
        <w:sz w:val="24"/>
        <w:szCs w:val="24"/>
        <w:lang w:val="es-CO"/>
      </w:rPr>
    </w:pPr>
  </w:p>
  <w:p w14:paraId="094BFC54" w14:textId="6E8EC8C4" w:rsidR="000155F6" w:rsidRPr="000414B7" w:rsidRDefault="00826B4C">
    <w:pPr>
      <w:pStyle w:val="Encabezado"/>
      <w:jc w:val="both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2"/>
        <w:szCs w:val="22"/>
      </w:rPr>
      <w:t xml:space="preserve">Circular Externa </w:t>
    </w:r>
    <w:r w:rsidR="005A0562">
      <w:rPr>
        <w:rFonts w:ascii="Arial" w:hAnsi="Arial" w:cs="Arial"/>
        <w:b/>
        <w:bCs/>
        <w:sz w:val="22"/>
        <w:szCs w:val="22"/>
      </w:rPr>
      <w:t>012</w:t>
    </w:r>
    <w:r>
      <w:rPr>
        <w:rFonts w:ascii="Arial" w:hAnsi="Arial" w:cs="Arial"/>
        <w:b/>
        <w:bCs/>
        <w:sz w:val="22"/>
        <w:szCs w:val="22"/>
      </w:rPr>
      <w:t xml:space="preserve"> de 2022                                                                     Página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64B9" w14:textId="77777777" w:rsidR="000155F6" w:rsidRPr="00D00A45" w:rsidRDefault="00826B4C" w:rsidP="00D00A45">
    <w:pPr>
      <w:pStyle w:val="Encabezado"/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4"/>
        <w:szCs w:val="24"/>
      </w:rPr>
      <w:t>SUPERINTENDENCIA FINANCIERA DE COLOMBIA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5D0C1AF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DF2FD7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E8C2D0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88E66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B34927"/>
    <w:multiLevelType w:val="hybridMultilevel"/>
    <w:tmpl w:val="30DCF93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3A01D9"/>
    <w:multiLevelType w:val="hybridMultilevel"/>
    <w:tmpl w:val="0B922468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612D9E"/>
    <w:multiLevelType w:val="hybridMultilevel"/>
    <w:tmpl w:val="6BB0E05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3D0B79"/>
    <w:multiLevelType w:val="hybridMultilevel"/>
    <w:tmpl w:val="E44CFC80"/>
    <w:lvl w:ilvl="0" w:tplc="0C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72A512A"/>
    <w:multiLevelType w:val="hybridMultilevel"/>
    <w:tmpl w:val="8A0E9E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91A1E"/>
    <w:multiLevelType w:val="hybridMultilevel"/>
    <w:tmpl w:val="53F436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FA44CB"/>
    <w:multiLevelType w:val="hybridMultilevel"/>
    <w:tmpl w:val="CF5C7240"/>
    <w:lvl w:ilvl="0" w:tplc="BF1641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134F7"/>
    <w:multiLevelType w:val="hybridMultilevel"/>
    <w:tmpl w:val="3E8E1808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D3A7546"/>
    <w:multiLevelType w:val="hybridMultilevel"/>
    <w:tmpl w:val="B2C834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104C5"/>
    <w:multiLevelType w:val="hybridMultilevel"/>
    <w:tmpl w:val="2CF89F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9A0E11"/>
    <w:multiLevelType w:val="hybridMultilevel"/>
    <w:tmpl w:val="B430025A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E4728A8"/>
    <w:multiLevelType w:val="hybridMultilevel"/>
    <w:tmpl w:val="CAD03A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D7CDD"/>
    <w:multiLevelType w:val="hybridMultilevel"/>
    <w:tmpl w:val="E72E6E9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DF4013"/>
    <w:multiLevelType w:val="multilevel"/>
    <w:tmpl w:val="8A0E9E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D21AAD"/>
    <w:multiLevelType w:val="hybridMultilevel"/>
    <w:tmpl w:val="44862A6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F85712"/>
    <w:multiLevelType w:val="hybridMultilevel"/>
    <w:tmpl w:val="A54CEF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443EF"/>
    <w:multiLevelType w:val="hybridMultilevel"/>
    <w:tmpl w:val="EFCE722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2D43CF"/>
    <w:multiLevelType w:val="hybridMultilevel"/>
    <w:tmpl w:val="445AA5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7B0AFD"/>
    <w:multiLevelType w:val="hybridMultilevel"/>
    <w:tmpl w:val="972274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FF01A2"/>
    <w:multiLevelType w:val="hybridMultilevel"/>
    <w:tmpl w:val="8B5E31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BA6D62"/>
    <w:multiLevelType w:val="multilevel"/>
    <w:tmpl w:val="5C7ED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79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3DAD693B"/>
    <w:multiLevelType w:val="hybridMultilevel"/>
    <w:tmpl w:val="AE50D61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A70876"/>
    <w:multiLevelType w:val="hybridMultilevel"/>
    <w:tmpl w:val="938E1D16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6CC4116"/>
    <w:multiLevelType w:val="hybridMultilevel"/>
    <w:tmpl w:val="5B54FC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7624985"/>
    <w:multiLevelType w:val="hybridMultilevel"/>
    <w:tmpl w:val="5E8EE6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4006FA"/>
    <w:multiLevelType w:val="hybridMultilevel"/>
    <w:tmpl w:val="C64849B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73088C"/>
    <w:multiLevelType w:val="hybridMultilevel"/>
    <w:tmpl w:val="4498F6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CC629C"/>
    <w:multiLevelType w:val="hybridMultilevel"/>
    <w:tmpl w:val="9D9A84E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F5CA5"/>
    <w:multiLevelType w:val="hybridMultilevel"/>
    <w:tmpl w:val="F6245BB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2B513A"/>
    <w:multiLevelType w:val="hybridMultilevel"/>
    <w:tmpl w:val="1904FB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551AEE"/>
    <w:multiLevelType w:val="hybridMultilevel"/>
    <w:tmpl w:val="C7A47672"/>
    <w:lvl w:ilvl="0" w:tplc="0C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35" w15:restartNumberingAfterBreak="0">
    <w:nsid w:val="516C7077"/>
    <w:multiLevelType w:val="hybridMultilevel"/>
    <w:tmpl w:val="6106BD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464E09"/>
    <w:multiLevelType w:val="hybridMultilevel"/>
    <w:tmpl w:val="C7F48FBC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D113109"/>
    <w:multiLevelType w:val="hybridMultilevel"/>
    <w:tmpl w:val="CC52EFA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E216F8F"/>
    <w:multiLevelType w:val="hybridMultilevel"/>
    <w:tmpl w:val="25CC766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504CF4"/>
    <w:multiLevelType w:val="hybridMultilevel"/>
    <w:tmpl w:val="F09C195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0E4B8E"/>
    <w:multiLevelType w:val="hybridMultilevel"/>
    <w:tmpl w:val="6AB2C958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76B3339"/>
    <w:multiLevelType w:val="multilevel"/>
    <w:tmpl w:val="03A07D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7C28A3"/>
    <w:multiLevelType w:val="hybridMultilevel"/>
    <w:tmpl w:val="A3FA5AAA"/>
    <w:lvl w:ilvl="0" w:tplc="8014046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314ECA26">
      <w:numFmt w:val="none"/>
      <w:lvlText w:val=""/>
      <w:lvlJc w:val="left"/>
      <w:pPr>
        <w:tabs>
          <w:tab w:val="num" w:pos="360"/>
        </w:tabs>
      </w:pPr>
    </w:lvl>
    <w:lvl w:ilvl="2" w:tplc="CB1A406C">
      <w:numFmt w:val="none"/>
      <w:lvlText w:val=""/>
      <w:lvlJc w:val="left"/>
      <w:pPr>
        <w:tabs>
          <w:tab w:val="num" w:pos="360"/>
        </w:tabs>
      </w:pPr>
    </w:lvl>
    <w:lvl w:ilvl="3" w:tplc="E1AC11EE">
      <w:numFmt w:val="none"/>
      <w:lvlText w:val=""/>
      <w:lvlJc w:val="left"/>
      <w:pPr>
        <w:tabs>
          <w:tab w:val="num" w:pos="360"/>
        </w:tabs>
      </w:pPr>
    </w:lvl>
    <w:lvl w:ilvl="4" w:tplc="48262BF2">
      <w:numFmt w:val="none"/>
      <w:lvlText w:val=""/>
      <w:lvlJc w:val="left"/>
      <w:pPr>
        <w:tabs>
          <w:tab w:val="num" w:pos="360"/>
        </w:tabs>
      </w:pPr>
    </w:lvl>
    <w:lvl w:ilvl="5" w:tplc="2BACD2E4">
      <w:numFmt w:val="none"/>
      <w:lvlText w:val=""/>
      <w:lvlJc w:val="left"/>
      <w:pPr>
        <w:tabs>
          <w:tab w:val="num" w:pos="360"/>
        </w:tabs>
      </w:pPr>
    </w:lvl>
    <w:lvl w:ilvl="6" w:tplc="F32ED814">
      <w:numFmt w:val="none"/>
      <w:lvlText w:val=""/>
      <w:lvlJc w:val="left"/>
      <w:pPr>
        <w:tabs>
          <w:tab w:val="num" w:pos="360"/>
        </w:tabs>
      </w:pPr>
    </w:lvl>
    <w:lvl w:ilvl="7" w:tplc="F6106BE8">
      <w:numFmt w:val="none"/>
      <w:lvlText w:val=""/>
      <w:lvlJc w:val="left"/>
      <w:pPr>
        <w:tabs>
          <w:tab w:val="num" w:pos="360"/>
        </w:tabs>
      </w:pPr>
    </w:lvl>
    <w:lvl w:ilvl="8" w:tplc="328ED670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56862E7"/>
    <w:multiLevelType w:val="hybridMultilevel"/>
    <w:tmpl w:val="FA3680B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D31AA8"/>
    <w:multiLevelType w:val="hybridMultilevel"/>
    <w:tmpl w:val="8AE025F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ED3412C"/>
    <w:multiLevelType w:val="hybridMultilevel"/>
    <w:tmpl w:val="9B2A11D2"/>
    <w:lvl w:ilvl="0" w:tplc="0C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42"/>
  </w:num>
  <w:num w:numId="3">
    <w:abstractNumId w:val="27"/>
  </w:num>
  <w:num w:numId="4">
    <w:abstractNumId w:val="2"/>
  </w:num>
  <w:num w:numId="5">
    <w:abstractNumId w:val="1"/>
  </w:num>
  <w:num w:numId="6">
    <w:abstractNumId w:val="0"/>
  </w:num>
  <w:num w:numId="7">
    <w:abstractNumId w:val="43"/>
  </w:num>
  <w:num w:numId="8">
    <w:abstractNumId w:val="12"/>
  </w:num>
  <w:num w:numId="9">
    <w:abstractNumId w:val="36"/>
  </w:num>
  <w:num w:numId="10">
    <w:abstractNumId w:val="14"/>
  </w:num>
  <w:num w:numId="11">
    <w:abstractNumId w:val="26"/>
  </w:num>
  <w:num w:numId="12">
    <w:abstractNumId w:val="5"/>
  </w:num>
  <w:num w:numId="13">
    <w:abstractNumId w:val="18"/>
  </w:num>
  <w:num w:numId="14">
    <w:abstractNumId w:val="25"/>
  </w:num>
  <w:num w:numId="15">
    <w:abstractNumId w:val="11"/>
  </w:num>
  <w:num w:numId="16">
    <w:abstractNumId w:val="13"/>
  </w:num>
  <w:num w:numId="17">
    <w:abstractNumId w:val="8"/>
  </w:num>
  <w:num w:numId="18">
    <w:abstractNumId w:val="45"/>
  </w:num>
  <w:num w:numId="19">
    <w:abstractNumId w:val="38"/>
  </w:num>
  <w:num w:numId="20">
    <w:abstractNumId w:val="20"/>
  </w:num>
  <w:num w:numId="21">
    <w:abstractNumId w:val="15"/>
  </w:num>
  <w:num w:numId="22">
    <w:abstractNumId w:val="16"/>
  </w:num>
  <w:num w:numId="23">
    <w:abstractNumId w:val="7"/>
  </w:num>
  <w:num w:numId="24">
    <w:abstractNumId w:val="24"/>
  </w:num>
  <w:num w:numId="25">
    <w:abstractNumId w:val="37"/>
  </w:num>
  <w:num w:numId="26">
    <w:abstractNumId w:val="23"/>
  </w:num>
  <w:num w:numId="27">
    <w:abstractNumId w:val="44"/>
  </w:num>
  <w:num w:numId="28">
    <w:abstractNumId w:val="6"/>
  </w:num>
  <w:num w:numId="29">
    <w:abstractNumId w:val="21"/>
  </w:num>
  <w:num w:numId="30">
    <w:abstractNumId w:val="19"/>
  </w:num>
  <w:num w:numId="31">
    <w:abstractNumId w:val="39"/>
  </w:num>
  <w:num w:numId="32">
    <w:abstractNumId w:val="32"/>
  </w:num>
  <w:num w:numId="33">
    <w:abstractNumId w:val="4"/>
  </w:num>
  <w:num w:numId="34">
    <w:abstractNumId w:val="29"/>
  </w:num>
  <w:num w:numId="35">
    <w:abstractNumId w:val="9"/>
  </w:num>
  <w:num w:numId="36">
    <w:abstractNumId w:val="28"/>
  </w:num>
  <w:num w:numId="37">
    <w:abstractNumId w:val="34"/>
  </w:num>
  <w:num w:numId="38">
    <w:abstractNumId w:val="22"/>
  </w:num>
  <w:num w:numId="39">
    <w:abstractNumId w:val="31"/>
  </w:num>
  <w:num w:numId="40">
    <w:abstractNumId w:val="41"/>
  </w:num>
  <w:num w:numId="41">
    <w:abstractNumId w:val="17"/>
  </w:num>
  <w:num w:numId="42">
    <w:abstractNumId w:val="30"/>
  </w:num>
  <w:num w:numId="43">
    <w:abstractNumId w:val="3"/>
  </w:num>
  <w:num w:numId="44">
    <w:abstractNumId w:val="35"/>
  </w:num>
  <w:num w:numId="45">
    <w:abstractNumId w:val="4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35"/>
    <w:rsid w:val="000104BC"/>
    <w:rsid w:val="000156FA"/>
    <w:rsid w:val="000273FE"/>
    <w:rsid w:val="000429E3"/>
    <w:rsid w:val="00043B3D"/>
    <w:rsid w:val="00045243"/>
    <w:rsid w:val="00047316"/>
    <w:rsid w:val="00072034"/>
    <w:rsid w:val="000779CA"/>
    <w:rsid w:val="0008135F"/>
    <w:rsid w:val="00095948"/>
    <w:rsid w:val="000B25F6"/>
    <w:rsid w:val="000B4965"/>
    <w:rsid w:val="000B77B2"/>
    <w:rsid w:val="000C5C3A"/>
    <w:rsid w:val="000C765A"/>
    <w:rsid w:val="000D147B"/>
    <w:rsid w:val="000E36B4"/>
    <w:rsid w:val="000F4625"/>
    <w:rsid w:val="000F6CB5"/>
    <w:rsid w:val="001040E0"/>
    <w:rsid w:val="001138D8"/>
    <w:rsid w:val="00120DA4"/>
    <w:rsid w:val="001220BF"/>
    <w:rsid w:val="001258E1"/>
    <w:rsid w:val="00125908"/>
    <w:rsid w:val="00140F13"/>
    <w:rsid w:val="00141341"/>
    <w:rsid w:val="00143136"/>
    <w:rsid w:val="001543F0"/>
    <w:rsid w:val="0018298C"/>
    <w:rsid w:val="00190EE7"/>
    <w:rsid w:val="001922C8"/>
    <w:rsid w:val="001A6B7D"/>
    <w:rsid w:val="001B5D25"/>
    <w:rsid w:val="001F0603"/>
    <w:rsid w:val="001F0BDB"/>
    <w:rsid w:val="001F1298"/>
    <w:rsid w:val="001F37C4"/>
    <w:rsid w:val="001F5C32"/>
    <w:rsid w:val="0020102C"/>
    <w:rsid w:val="0024219E"/>
    <w:rsid w:val="00293608"/>
    <w:rsid w:val="002B6A63"/>
    <w:rsid w:val="002B6E99"/>
    <w:rsid w:val="002E004A"/>
    <w:rsid w:val="002E3337"/>
    <w:rsid w:val="002F21BE"/>
    <w:rsid w:val="002F4A2A"/>
    <w:rsid w:val="002F688F"/>
    <w:rsid w:val="00302031"/>
    <w:rsid w:val="00316E05"/>
    <w:rsid w:val="00322884"/>
    <w:rsid w:val="00323D6A"/>
    <w:rsid w:val="00326BC7"/>
    <w:rsid w:val="003366E8"/>
    <w:rsid w:val="00357F64"/>
    <w:rsid w:val="0037411F"/>
    <w:rsid w:val="00374F5A"/>
    <w:rsid w:val="003760B7"/>
    <w:rsid w:val="0037709E"/>
    <w:rsid w:val="003918C3"/>
    <w:rsid w:val="003B15A8"/>
    <w:rsid w:val="003B40BF"/>
    <w:rsid w:val="003C3190"/>
    <w:rsid w:val="003C7C2B"/>
    <w:rsid w:val="003E1E8C"/>
    <w:rsid w:val="003E3CC3"/>
    <w:rsid w:val="003F7BBD"/>
    <w:rsid w:val="00404235"/>
    <w:rsid w:val="004043B0"/>
    <w:rsid w:val="0040661C"/>
    <w:rsid w:val="00410CAB"/>
    <w:rsid w:val="004241FB"/>
    <w:rsid w:val="00444274"/>
    <w:rsid w:val="0044428D"/>
    <w:rsid w:val="00451E47"/>
    <w:rsid w:val="00454762"/>
    <w:rsid w:val="00465F84"/>
    <w:rsid w:val="00472CED"/>
    <w:rsid w:val="004C05E7"/>
    <w:rsid w:val="004C2087"/>
    <w:rsid w:val="004D5BBF"/>
    <w:rsid w:val="004E76D7"/>
    <w:rsid w:val="004F111A"/>
    <w:rsid w:val="004F167D"/>
    <w:rsid w:val="004F2BC3"/>
    <w:rsid w:val="00513233"/>
    <w:rsid w:val="005269A9"/>
    <w:rsid w:val="00526CF3"/>
    <w:rsid w:val="00540CCB"/>
    <w:rsid w:val="005434DB"/>
    <w:rsid w:val="00553A49"/>
    <w:rsid w:val="00562DD7"/>
    <w:rsid w:val="00564B20"/>
    <w:rsid w:val="00570917"/>
    <w:rsid w:val="00581497"/>
    <w:rsid w:val="00586A31"/>
    <w:rsid w:val="005A0562"/>
    <w:rsid w:val="005B3868"/>
    <w:rsid w:val="005D51F0"/>
    <w:rsid w:val="005E0BB5"/>
    <w:rsid w:val="005E3F6F"/>
    <w:rsid w:val="005E65FD"/>
    <w:rsid w:val="006030AE"/>
    <w:rsid w:val="00617CEF"/>
    <w:rsid w:val="00621A24"/>
    <w:rsid w:val="00622A45"/>
    <w:rsid w:val="0064423D"/>
    <w:rsid w:val="00655C9D"/>
    <w:rsid w:val="00664B83"/>
    <w:rsid w:val="006676BD"/>
    <w:rsid w:val="0067249A"/>
    <w:rsid w:val="006A428B"/>
    <w:rsid w:val="006B29A5"/>
    <w:rsid w:val="006B56BB"/>
    <w:rsid w:val="006B63BD"/>
    <w:rsid w:val="006C11DF"/>
    <w:rsid w:val="006C2208"/>
    <w:rsid w:val="006C78C6"/>
    <w:rsid w:val="006D2615"/>
    <w:rsid w:val="006E5B1B"/>
    <w:rsid w:val="006F299C"/>
    <w:rsid w:val="006F70A6"/>
    <w:rsid w:val="006F7746"/>
    <w:rsid w:val="0071400C"/>
    <w:rsid w:val="007234B0"/>
    <w:rsid w:val="00735974"/>
    <w:rsid w:val="0075215C"/>
    <w:rsid w:val="007635A9"/>
    <w:rsid w:val="007741DB"/>
    <w:rsid w:val="00786A0F"/>
    <w:rsid w:val="00796056"/>
    <w:rsid w:val="007A55C7"/>
    <w:rsid w:val="007B55EB"/>
    <w:rsid w:val="007C0F8A"/>
    <w:rsid w:val="007C36A0"/>
    <w:rsid w:val="007D72BD"/>
    <w:rsid w:val="007E4209"/>
    <w:rsid w:val="007E4CA2"/>
    <w:rsid w:val="007F56C3"/>
    <w:rsid w:val="00803A15"/>
    <w:rsid w:val="008078CF"/>
    <w:rsid w:val="00824B7C"/>
    <w:rsid w:val="00826B4C"/>
    <w:rsid w:val="00833FCA"/>
    <w:rsid w:val="00836A72"/>
    <w:rsid w:val="0084010C"/>
    <w:rsid w:val="008402B9"/>
    <w:rsid w:val="00846611"/>
    <w:rsid w:val="00847CE7"/>
    <w:rsid w:val="00854E07"/>
    <w:rsid w:val="00855EA8"/>
    <w:rsid w:val="008704DC"/>
    <w:rsid w:val="008811A2"/>
    <w:rsid w:val="008B697F"/>
    <w:rsid w:val="008C0112"/>
    <w:rsid w:val="008C0337"/>
    <w:rsid w:val="008C0C06"/>
    <w:rsid w:val="008C61B0"/>
    <w:rsid w:val="008C78C6"/>
    <w:rsid w:val="008C7E40"/>
    <w:rsid w:val="008D1DF6"/>
    <w:rsid w:val="008D41E4"/>
    <w:rsid w:val="008E3CD9"/>
    <w:rsid w:val="008E4990"/>
    <w:rsid w:val="008E5FD8"/>
    <w:rsid w:val="008F19A3"/>
    <w:rsid w:val="008F7D6A"/>
    <w:rsid w:val="00903F36"/>
    <w:rsid w:val="00904A52"/>
    <w:rsid w:val="00936361"/>
    <w:rsid w:val="009377A3"/>
    <w:rsid w:val="00957194"/>
    <w:rsid w:val="00965312"/>
    <w:rsid w:val="00982F30"/>
    <w:rsid w:val="0098514D"/>
    <w:rsid w:val="00997CB7"/>
    <w:rsid w:val="009A55F6"/>
    <w:rsid w:val="009B7E31"/>
    <w:rsid w:val="009C2125"/>
    <w:rsid w:val="009C690A"/>
    <w:rsid w:val="009C7465"/>
    <w:rsid w:val="009E3493"/>
    <w:rsid w:val="00A006EC"/>
    <w:rsid w:val="00A0202C"/>
    <w:rsid w:val="00A14B84"/>
    <w:rsid w:val="00A151B3"/>
    <w:rsid w:val="00A151C6"/>
    <w:rsid w:val="00A164B8"/>
    <w:rsid w:val="00A249A3"/>
    <w:rsid w:val="00A41681"/>
    <w:rsid w:val="00A433BC"/>
    <w:rsid w:val="00A434D9"/>
    <w:rsid w:val="00A52BE3"/>
    <w:rsid w:val="00A57330"/>
    <w:rsid w:val="00A61CAF"/>
    <w:rsid w:val="00A667BE"/>
    <w:rsid w:val="00A84B0F"/>
    <w:rsid w:val="00AC0FDE"/>
    <w:rsid w:val="00AC283C"/>
    <w:rsid w:val="00AD3473"/>
    <w:rsid w:val="00AE00EF"/>
    <w:rsid w:val="00B05C8F"/>
    <w:rsid w:val="00B07CB8"/>
    <w:rsid w:val="00B1763A"/>
    <w:rsid w:val="00B25253"/>
    <w:rsid w:val="00B25480"/>
    <w:rsid w:val="00B270FC"/>
    <w:rsid w:val="00B27B20"/>
    <w:rsid w:val="00B51F39"/>
    <w:rsid w:val="00B6507B"/>
    <w:rsid w:val="00B711B7"/>
    <w:rsid w:val="00B73BB4"/>
    <w:rsid w:val="00B92720"/>
    <w:rsid w:val="00BB3603"/>
    <w:rsid w:val="00BB37DA"/>
    <w:rsid w:val="00BC0DC8"/>
    <w:rsid w:val="00BC13D7"/>
    <w:rsid w:val="00BF1795"/>
    <w:rsid w:val="00C05D07"/>
    <w:rsid w:val="00C128C9"/>
    <w:rsid w:val="00C25F9A"/>
    <w:rsid w:val="00C340E1"/>
    <w:rsid w:val="00C42D9D"/>
    <w:rsid w:val="00C46F75"/>
    <w:rsid w:val="00C47FBF"/>
    <w:rsid w:val="00C57BD4"/>
    <w:rsid w:val="00C614EA"/>
    <w:rsid w:val="00C652C5"/>
    <w:rsid w:val="00C70BB1"/>
    <w:rsid w:val="00C74EFA"/>
    <w:rsid w:val="00C8742D"/>
    <w:rsid w:val="00C90174"/>
    <w:rsid w:val="00C97175"/>
    <w:rsid w:val="00CA005A"/>
    <w:rsid w:val="00CA7C56"/>
    <w:rsid w:val="00CD33D4"/>
    <w:rsid w:val="00CE027F"/>
    <w:rsid w:val="00CE478D"/>
    <w:rsid w:val="00CF17A4"/>
    <w:rsid w:val="00D071C4"/>
    <w:rsid w:val="00D102D4"/>
    <w:rsid w:val="00D1306A"/>
    <w:rsid w:val="00D14F8F"/>
    <w:rsid w:val="00D40117"/>
    <w:rsid w:val="00D42D4C"/>
    <w:rsid w:val="00D65414"/>
    <w:rsid w:val="00D66061"/>
    <w:rsid w:val="00D664AC"/>
    <w:rsid w:val="00D828EE"/>
    <w:rsid w:val="00DC1E1A"/>
    <w:rsid w:val="00DC77BD"/>
    <w:rsid w:val="00DE0FA4"/>
    <w:rsid w:val="00DF3624"/>
    <w:rsid w:val="00DF3808"/>
    <w:rsid w:val="00DF6B31"/>
    <w:rsid w:val="00E0606A"/>
    <w:rsid w:val="00E060AC"/>
    <w:rsid w:val="00E21952"/>
    <w:rsid w:val="00E2226D"/>
    <w:rsid w:val="00E26ECB"/>
    <w:rsid w:val="00E357FA"/>
    <w:rsid w:val="00E416CF"/>
    <w:rsid w:val="00E435E8"/>
    <w:rsid w:val="00E47C9B"/>
    <w:rsid w:val="00E530A0"/>
    <w:rsid w:val="00E66DC8"/>
    <w:rsid w:val="00E7020B"/>
    <w:rsid w:val="00E721A2"/>
    <w:rsid w:val="00E77E01"/>
    <w:rsid w:val="00E85FB3"/>
    <w:rsid w:val="00E93C1D"/>
    <w:rsid w:val="00E95887"/>
    <w:rsid w:val="00E979D9"/>
    <w:rsid w:val="00EA0ED5"/>
    <w:rsid w:val="00EA1049"/>
    <w:rsid w:val="00EB26B9"/>
    <w:rsid w:val="00EB6E65"/>
    <w:rsid w:val="00EC6395"/>
    <w:rsid w:val="00ED37AC"/>
    <w:rsid w:val="00EE3537"/>
    <w:rsid w:val="00F01964"/>
    <w:rsid w:val="00F03AAC"/>
    <w:rsid w:val="00F13285"/>
    <w:rsid w:val="00F14D4B"/>
    <w:rsid w:val="00F15648"/>
    <w:rsid w:val="00F30C35"/>
    <w:rsid w:val="00F32DEC"/>
    <w:rsid w:val="00F34FD2"/>
    <w:rsid w:val="00F553E2"/>
    <w:rsid w:val="00F6044F"/>
    <w:rsid w:val="00F70A31"/>
    <w:rsid w:val="00F733FF"/>
    <w:rsid w:val="00F822C8"/>
    <w:rsid w:val="00F9082E"/>
    <w:rsid w:val="00FB0A23"/>
    <w:rsid w:val="00FB5206"/>
    <w:rsid w:val="00FB59D7"/>
    <w:rsid w:val="00FC3F04"/>
    <w:rsid w:val="00FD7BA8"/>
    <w:rsid w:val="00FE1D9A"/>
    <w:rsid w:val="00FE2B60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4310D6"/>
  <w15:chartTrackingRefBased/>
  <w15:docId w15:val="{A2F97EA2-33F7-46C0-8D52-CD7B8FCB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jc w:val="both"/>
      <w:outlineLvl w:val="1"/>
    </w:pPr>
    <w:rPr>
      <w:rFonts w:ascii="Arial" w:hAnsi="Arial"/>
      <w:b/>
      <w:sz w:val="18"/>
      <w:lang w:val="es-CO" w:eastAsia="es-CO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-720"/>
      </w:tabs>
      <w:jc w:val="both"/>
      <w:outlineLvl w:val="7"/>
    </w:pPr>
    <w:rPr>
      <w:rFonts w:ascii="Arial" w:hAnsi="Arial"/>
      <w:spacing w:val="20"/>
      <w:sz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spacing w:val="20"/>
      <w:sz w:val="24"/>
      <w:szCs w:val="24"/>
      <w:lang w:val="es-MX"/>
    </w:rPr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customStyle="1" w:styleId="Puesto">
    <w:name w:val="Puesto"/>
    <w:basedOn w:val="Normal"/>
    <w:qFormat/>
    <w:pPr>
      <w:suppressAutoHyphens/>
      <w:ind w:right="-136"/>
      <w:jc w:val="center"/>
    </w:pPr>
    <w:rPr>
      <w:rFonts w:ascii="Arial" w:hAnsi="Arial"/>
      <w:b/>
      <w:spacing w:val="20"/>
      <w:lang w:val="es-CO" w:eastAsia="es-CO"/>
    </w:rPr>
  </w:style>
  <w:style w:type="paragraph" w:styleId="Textocomentario">
    <w:name w:val="annotation text"/>
    <w:basedOn w:val="Normal"/>
    <w:link w:val="TextocomentarioCar"/>
    <w:semiHidden/>
    <w:rPr>
      <w:lang w:val="es-ES"/>
    </w:rPr>
  </w:style>
  <w:style w:type="paragraph" w:customStyle="1" w:styleId="BodyText21">
    <w:name w:val="Body Text 21"/>
    <w:basedOn w:val="Normal"/>
    <w:pPr>
      <w:tabs>
        <w:tab w:val="left" w:pos="-720"/>
      </w:tabs>
      <w:jc w:val="both"/>
    </w:pPr>
    <w:rPr>
      <w:rFonts w:ascii="Arial" w:hAnsi="Arial"/>
      <w:spacing w:val="20"/>
      <w:sz w:val="16"/>
      <w:lang w:val="es-CO" w:eastAsia="es-CO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  <w:lang w:val="es-ES"/>
    </w:rPr>
  </w:style>
  <w:style w:type="character" w:styleId="Nmerodepgina">
    <w:name w:val="page number"/>
    <w:basedOn w:val="Fuentedeprrafopredeter"/>
  </w:style>
  <w:style w:type="paragraph" w:styleId="Listaconvietas">
    <w:name w:val="List Bullet"/>
    <w:basedOn w:val="Normal"/>
    <w:autoRedefine/>
    <w:pPr>
      <w:numPr>
        <w:numId w:val="43"/>
      </w:numPr>
      <w:tabs>
        <w:tab w:val="clear" w:pos="360"/>
      </w:tabs>
      <w:ind w:right="51"/>
      <w:jc w:val="both"/>
    </w:pPr>
    <w:rPr>
      <w:rFonts w:ascii="Arial" w:hAnsi="Arial" w:cs="Arial"/>
      <w:sz w:val="24"/>
      <w:szCs w:val="24"/>
      <w:lang w:eastAsia="es-CO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4"/>
      <w:szCs w:val="24"/>
      <w:lang w:val="es-ES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24"/>
      <w:lang w:val="es-ES"/>
    </w:rPr>
  </w:style>
  <w:style w:type="paragraph" w:customStyle="1" w:styleId="Ttulo10">
    <w:name w:val="TÍtulo 1"/>
    <w:basedOn w:val="Normal"/>
    <w:next w:val="Normal"/>
    <w:pPr>
      <w:keepNext/>
      <w:jc w:val="both"/>
    </w:pPr>
    <w:rPr>
      <w:rFonts w:ascii="Arial" w:hAnsi="Arial"/>
      <w:sz w:val="24"/>
      <w:lang w:val="es-ES"/>
    </w:rPr>
  </w:style>
  <w:style w:type="character" w:customStyle="1" w:styleId="elema1">
    <w:name w:val="elema1"/>
    <w:rPr>
      <w:color w:val="0000FF"/>
      <w:sz w:val="30"/>
      <w:szCs w:val="30"/>
    </w:rPr>
  </w:style>
  <w:style w:type="character" w:customStyle="1" w:styleId="eetimo1">
    <w:name w:val="eetimo1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eordenaceplema1">
    <w:name w:val="eordenaceplema1"/>
    <w:rPr>
      <w:color w:val="0000FF"/>
    </w:rPr>
  </w:style>
  <w:style w:type="character" w:customStyle="1" w:styleId="eabrv1">
    <w:name w:val="eabrv1"/>
    <w:rPr>
      <w:color w:val="0000FF"/>
    </w:rPr>
  </w:style>
  <w:style w:type="character" w:customStyle="1" w:styleId="eacep1">
    <w:name w:val="eacep1"/>
    <w:rPr>
      <w:color w:val="000000"/>
    </w:rPr>
  </w:style>
  <w:style w:type="character" w:customStyle="1" w:styleId="eabrvnoedit1">
    <w:name w:val="eabrvnoedit1"/>
    <w:rPr>
      <w:color w:val="B3B3B3"/>
    </w:rPr>
  </w:style>
  <w:style w:type="character" w:customStyle="1" w:styleId="efcompleja1">
    <w:name w:val="efcompleja1"/>
    <w:rPr>
      <w:color w:val="800000"/>
    </w:rPr>
  </w:style>
  <w:style w:type="character" w:customStyle="1" w:styleId="eordenacepfc1">
    <w:name w:val="eordenacepfc1"/>
    <w:rPr>
      <w:color w:val="800000"/>
    </w:rPr>
  </w:style>
  <w:style w:type="paragraph" w:styleId="Lista">
    <w:name w:val="List"/>
    <w:basedOn w:val="Normal"/>
    <w:pPr>
      <w:ind w:left="283" w:hanging="283"/>
    </w:pPr>
    <w:rPr>
      <w:sz w:val="24"/>
      <w:szCs w:val="24"/>
      <w:lang w:val="es-ES"/>
    </w:rPr>
  </w:style>
  <w:style w:type="paragraph" w:styleId="Lista2">
    <w:name w:val="List 2"/>
    <w:basedOn w:val="Normal"/>
    <w:pPr>
      <w:ind w:left="566" w:hanging="283"/>
    </w:pPr>
    <w:rPr>
      <w:sz w:val="24"/>
      <w:szCs w:val="24"/>
      <w:lang w:val="es-ES"/>
    </w:rPr>
  </w:style>
  <w:style w:type="paragraph" w:styleId="Lista3">
    <w:name w:val="List 3"/>
    <w:basedOn w:val="Normal"/>
    <w:pPr>
      <w:ind w:left="849" w:hanging="283"/>
    </w:pPr>
    <w:rPr>
      <w:sz w:val="24"/>
      <w:szCs w:val="24"/>
      <w:lang w:val="es-ES"/>
    </w:rPr>
  </w:style>
  <w:style w:type="paragraph" w:styleId="Lista4">
    <w:name w:val="List 4"/>
    <w:basedOn w:val="Normal"/>
    <w:pPr>
      <w:ind w:left="1132" w:hanging="283"/>
    </w:pPr>
    <w:rPr>
      <w:sz w:val="24"/>
      <w:szCs w:val="24"/>
      <w:lang w:val="es-ES"/>
    </w:rPr>
  </w:style>
  <w:style w:type="paragraph" w:styleId="Lista5">
    <w:name w:val="List 5"/>
    <w:basedOn w:val="Normal"/>
    <w:pPr>
      <w:ind w:left="1415" w:hanging="283"/>
    </w:pPr>
    <w:rPr>
      <w:sz w:val="24"/>
      <w:szCs w:val="24"/>
      <w:lang w:val="es-ES"/>
    </w:rPr>
  </w:style>
  <w:style w:type="paragraph" w:styleId="Saludo">
    <w:name w:val="Salutation"/>
    <w:basedOn w:val="Normal"/>
    <w:next w:val="Normal"/>
    <w:rPr>
      <w:sz w:val="24"/>
      <w:szCs w:val="24"/>
      <w:lang w:val="es-ES"/>
    </w:rPr>
  </w:style>
  <w:style w:type="paragraph" w:styleId="Listaconvietas2">
    <w:name w:val="List Bullet 2"/>
    <w:basedOn w:val="Normal"/>
    <w:pPr>
      <w:numPr>
        <w:numId w:val="4"/>
      </w:numPr>
    </w:pPr>
    <w:rPr>
      <w:sz w:val="24"/>
      <w:szCs w:val="24"/>
      <w:lang w:val="es-ES"/>
    </w:rPr>
  </w:style>
  <w:style w:type="paragraph" w:styleId="Listaconvietas3">
    <w:name w:val="List Bullet 3"/>
    <w:basedOn w:val="Normal"/>
    <w:pPr>
      <w:numPr>
        <w:numId w:val="5"/>
      </w:numPr>
    </w:pPr>
    <w:rPr>
      <w:sz w:val="24"/>
      <w:szCs w:val="24"/>
      <w:lang w:val="es-ES"/>
    </w:rPr>
  </w:style>
  <w:style w:type="paragraph" w:styleId="Listaconvietas4">
    <w:name w:val="List Bullet 4"/>
    <w:basedOn w:val="Normal"/>
    <w:pPr>
      <w:numPr>
        <w:numId w:val="6"/>
      </w:numPr>
    </w:pPr>
    <w:rPr>
      <w:sz w:val="24"/>
      <w:szCs w:val="24"/>
      <w:lang w:val="es-ES"/>
    </w:rPr>
  </w:style>
  <w:style w:type="paragraph" w:styleId="Continuarlista">
    <w:name w:val="List Continue"/>
    <w:basedOn w:val="Normal"/>
    <w:pPr>
      <w:spacing w:after="120"/>
      <w:ind w:left="283"/>
    </w:pPr>
    <w:rPr>
      <w:sz w:val="24"/>
      <w:szCs w:val="24"/>
      <w:lang w:val="es-ES"/>
    </w:rPr>
  </w:style>
  <w:style w:type="paragraph" w:styleId="Continuarlista2">
    <w:name w:val="List Continue 2"/>
    <w:basedOn w:val="Normal"/>
    <w:pPr>
      <w:spacing w:after="120"/>
      <w:ind w:left="566"/>
    </w:pPr>
    <w:rPr>
      <w:sz w:val="24"/>
      <w:szCs w:val="24"/>
      <w:lang w:val="es-ES"/>
    </w:rPr>
  </w:style>
  <w:style w:type="paragraph" w:styleId="Continuarlista3">
    <w:name w:val="List Continue 3"/>
    <w:basedOn w:val="Normal"/>
    <w:pPr>
      <w:spacing w:after="120"/>
      <w:ind w:left="849"/>
    </w:pPr>
    <w:rPr>
      <w:sz w:val="24"/>
      <w:szCs w:val="24"/>
      <w:lang w:val="es-ES"/>
    </w:r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  <w:rPr>
      <w:sz w:val="24"/>
      <w:szCs w:val="24"/>
      <w:lang w:val="es-ES"/>
    </w:rPr>
  </w:style>
  <w:style w:type="paragraph" w:styleId="Mapadeldocumento">
    <w:name w:val="Document Map"/>
    <w:basedOn w:val="Normal"/>
    <w:semiHidden/>
    <w:rsid w:val="00404235"/>
    <w:pPr>
      <w:shd w:val="clear" w:color="auto" w:fill="000080"/>
    </w:pPr>
    <w:rPr>
      <w:rFonts w:ascii="Tahoma" w:hAnsi="Tahoma" w:cs="Tahoma"/>
    </w:rPr>
  </w:style>
  <w:style w:type="character" w:customStyle="1" w:styleId="EncabezadoCar">
    <w:name w:val="Encabezado Car"/>
    <w:basedOn w:val="Fuentedeprrafopredeter"/>
    <w:link w:val="Encabezado"/>
    <w:uiPriority w:val="99"/>
    <w:rsid w:val="00323D6A"/>
    <w:rPr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323D6A"/>
    <w:rPr>
      <w:lang w:val="es-ES_tradnl" w:eastAsia="es-ES"/>
    </w:rPr>
  </w:style>
  <w:style w:type="paragraph" w:customStyle="1" w:styleId="Default">
    <w:name w:val="Default"/>
    <w:rsid w:val="00323D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323D6A"/>
    <w:rPr>
      <w:i/>
      <w:iCs/>
    </w:rPr>
  </w:style>
  <w:style w:type="paragraph" w:styleId="Sinespaciado">
    <w:name w:val="No Spacing"/>
    <w:uiPriority w:val="1"/>
    <w:qFormat/>
    <w:rsid w:val="00323D6A"/>
    <w:rPr>
      <w:rFonts w:ascii="Arial" w:hAnsi="Arial"/>
      <w:sz w:val="24"/>
      <w:lang w:val="es-ES_tradnl" w:eastAsia="es-ES"/>
    </w:rPr>
  </w:style>
  <w:style w:type="paragraph" w:styleId="Revisin">
    <w:name w:val="Revision"/>
    <w:hidden/>
    <w:uiPriority w:val="99"/>
    <w:semiHidden/>
    <w:rsid w:val="00BF1795"/>
    <w:rPr>
      <w:lang w:val="es-ES_tradnl" w:eastAsia="es-ES"/>
    </w:rPr>
  </w:style>
  <w:style w:type="character" w:styleId="Refdecomentario">
    <w:name w:val="annotation reference"/>
    <w:basedOn w:val="Fuentedeprrafopredeter"/>
    <w:rsid w:val="00472CE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72CED"/>
    <w:rPr>
      <w:b/>
      <w:bCs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72CED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472CED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AF7889C5F1A42B6F85DCD2816E5F3" ma:contentTypeVersion="2" ma:contentTypeDescription="Create a new document." ma:contentTypeScope="" ma:versionID="c5bcb516381556a9574da1fc1818bd02">
  <xsd:schema xmlns:xsd="http://www.w3.org/2001/XMLSchema" xmlns:xs="http://www.w3.org/2001/XMLSchema" xmlns:p="http://schemas.microsoft.com/office/2006/metadata/properties" xmlns:ns2="08063ac5-0b14-42d8-b448-69b93de11c98" targetNamespace="http://schemas.microsoft.com/office/2006/metadata/properties" ma:root="true" ma:fieldsID="711926253f93911f3652a4eba9291463" ns2:_="">
    <xsd:import namespace="08063ac5-0b14-42d8-b448-69b93de11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63ac5-0b14-42d8-b448-69b93de11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BAF586-BCB2-4847-915E-48603D9448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53BC40-A903-485F-99C2-5F14C481B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F5C31-989D-4434-974E-D661BD078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63ac5-0b14-42d8-b448-69b93de11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CF5DDE-4B4C-41F9-84CC-98631CD2B4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 CE</vt:lpstr>
    </vt:vector>
  </TitlesOfParts>
  <Company>superfinanciera</Company>
  <LinksUpToDate>false</LinksUpToDate>
  <CharactersWithSpaces>3716</CharactersWithSpaces>
  <SharedDoc>false</SharedDoc>
  <HLinks>
    <vt:vector size="6" baseType="variant"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mailto:normativa@superfinanciera.gov.co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 CE</dc:title>
  <dc:subject/>
  <dc:creator>Dirección de Investigación y Desarrollo</dc:creator>
  <cp:keywords/>
  <cp:lastModifiedBy>Gabriel Armando Ospina Garcia</cp:lastModifiedBy>
  <cp:revision>3</cp:revision>
  <cp:lastPrinted>2022-05-16T16:05:00Z</cp:lastPrinted>
  <dcterms:created xsi:type="dcterms:W3CDTF">2022-05-27T21:02:00Z</dcterms:created>
  <dcterms:modified xsi:type="dcterms:W3CDTF">2022-05-27T21:25:00Z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0x010100BECAF7889C5F1A42B6F85DCD2816E5F3</vt:lpwstr>
  </property>
</Properties>
</file>