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B3" w:rsidRDefault="009D6CB3" w:rsidP="009D6CB3">
      <w:pPr>
        <w:spacing w:before="0" w:after="0"/>
        <w:ind w:right="-5727"/>
        <w:rPr>
          <w:rFonts w:ascii="FS Joey" w:hAnsi="FS Joey" w:cs="Calibri"/>
          <w:b/>
          <w:color w:val="808080" w:themeColor="background1" w:themeShade="80"/>
          <w:sz w:val="36"/>
          <w:szCs w:val="32"/>
        </w:rPr>
      </w:pPr>
    </w:p>
    <w:p w:rsidR="009D6CB3" w:rsidRDefault="009D6CB3" w:rsidP="009D6CB3">
      <w:pPr>
        <w:spacing w:before="0" w:after="0"/>
        <w:ind w:right="-5727"/>
        <w:rPr>
          <w:rFonts w:ascii="FS Joey" w:hAnsi="FS Joey" w:cs="Calibri"/>
          <w:b/>
          <w:color w:val="808080" w:themeColor="background1" w:themeShade="80"/>
          <w:sz w:val="36"/>
          <w:szCs w:val="32"/>
        </w:rPr>
      </w:pPr>
      <w:r>
        <w:rPr>
          <w:rFonts w:ascii="FS Joey" w:hAnsi="FS Joey" w:cs="Calibri"/>
          <w:b/>
          <w:color w:val="808080" w:themeColor="background1" w:themeShade="80"/>
          <w:sz w:val="36"/>
          <w:szCs w:val="32"/>
        </w:rPr>
        <w:t>Editorial</w:t>
      </w:r>
    </w:p>
    <w:p w:rsidR="009D6CB3" w:rsidRPr="00253E22" w:rsidRDefault="009D6CB3" w:rsidP="009D6CB3">
      <w:pPr>
        <w:spacing w:before="0" w:after="0"/>
        <w:ind w:right="-5727"/>
        <w:rPr>
          <w:rFonts w:ascii="FS Joey" w:hAnsi="FS Joey" w:cs="Calibri"/>
          <w:b/>
          <w:color w:val="808080" w:themeColor="background1" w:themeShade="80"/>
          <w:sz w:val="36"/>
          <w:szCs w:val="32"/>
        </w:rPr>
      </w:pPr>
    </w:p>
    <w:p w:rsidR="00180A4A" w:rsidRPr="00180A4A" w:rsidRDefault="00180A4A" w:rsidP="00180A4A">
      <w:pPr>
        <w:jc w:val="both"/>
        <w:rPr>
          <w:rFonts w:ascii="Barlow" w:hAnsi="Barlow"/>
          <w:bCs/>
          <w:sz w:val="22"/>
          <w:szCs w:val="22"/>
        </w:rPr>
      </w:pPr>
      <w:r w:rsidRPr="00180A4A">
        <w:rPr>
          <w:rFonts w:ascii="Barlow" w:hAnsi="Barlow"/>
          <w:bCs/>
          <w:sz w:val="22"/>
          <w:szCs w:val="22"/>
        </w:rPr>
        <w:t xml:space="preserve">De la semana pasada se destaca la participación activa de SURA en dos importantes proyectos normativos, por un lado, el proyecto de resolución que establecería los requisitos para la </w:t>
      </w:r>
      <w:r w:rsidRPr="00180A4A">
        <w:rPr>
          <w:rFonts w:ascii="Barlow" w:hAnsi="Barlow"/>
          <w:b/>
          <w:bCs/>
          <w:sz w:val="22"/>
          <w:szCs w:val="22"/>
        </w:rPr>
        <w:t>adquisición e importación de vacunas</w:t>
      </w:r>
      <w:r w:rsidRPr="00180A4A">
        <w:rPr>
          <w:rFonts w:ascii="Barlow" w:hAnsi="Barlow"/>
          <w:bCs/>
          <w:sz w:val="22"/>
          <w:szCs w:val="22"/>
        </w:rPr>
        <w:t xml:space="preserve"> contra el COVID-19 por personas de derecho privado y por otro lado, el proyecto de circular externa que impartiría instrucciones relacionadas con el régimen de inversión de los recursos de los fondos de pensiones obligatorias y cesantías, y de las </w:t>
      </w:r>
      <w:r w:rsidRPr="00180A4A">
        <w:rPr>
          <w:rFonts w:ascii="Barlow" w:hAnsi="Barlow"/>
          <w:b/>
          <w:bCs/>
          <w:sz w:val="22"/>
          <w:szCs w:val="22"/>
        </w:rPr>
        <w:t>reservas de las entidades aseguradoras</w:t>
      </w:r>
      <w:r w:rsidRPr="00180A4A">
        <w:rPr>
          <w:rFonts w:ascii="Barlow" w:hAnsi="Barlow"/>
          <w:bCs/>
          <w:sz w:val="22"/>
          <w:szCs w:val="22"/>
        </w:rPr>
        <w:t xml:space="preserve"> y sociedades de capitalización.</w:t>
      </w:r>
    </w:p>
    <w:p w:rsidR="00180A4A" w:rsidRPr="00180A4A" w:rsidRDefault="00180A4A" w:rsidP="00180A4A">
      <w:pPr>
        <w:jc w:val="both"/>
        <w:rPr>
          <w:rFonts w:ascii="Barlow" w:hAnsi="Barlow"/>
          <w:bCs/>
          <w:sz w:val="22"/>
          <w:szCs w:val="22"/>
        </w:rPr>
      </w:pPr>
      <w:r w:rsidRPr="00180A4A">
        <w:rPr>
          <w:rFonts w:ascii="Barlow" w:hAnsi="Barlow"/>
          <w:bCs/>
          <w:sz w:val="22"/>
          <w:szCs w:val="22"/>
        </w:rPr>
        <w:t xml:space="preserve">Por otro lado, continúa la lucha contra el COVID-19 con el </w:t>
      </w:r>
      <w:proofErr w:type="spellStart"/>
      <w:r w:rsidRPr="00180A4A">
        <w:rPr>
          <w:rFonts w:ascii="Barlow" w:hAnsi="Barlow"/>
          <w:bCs/>
          <w:sz w:val="22"/>
          <w:szCs w:val="22"/>
        </w:rPr>
        <w:t>MinSalud</w:t>
      </w:r>
      <w:proofErr w:type="spellEnd"/>
      <w:r w:rsidRPr="00180A4A">
        <w:rPr>
          <w:rFonts w:ascii="Barlow" w:hAnsi="Barlow"/>
          <w:bCs/>
          <w:sz w:val="22"/>
          <w:szCs w:val="22"/>
        </w:rPr>
        <w:t xml:space="preserve"> </w:t>
      </w:r>
      <w:r w:rsidRPr="00180A4A">
        <w:rPr>
          <w:rFonts w:ascii="Barlow" w:hAnsi="Barlow"/>
          <w:b/>
          <w:bCs/>
          <w:sz w:val="22"/>
          <w:szCs w:val="22"/>
        </w:rPr>
        <w:t>actualizando los lineamientos técnicos y operativos</w:t>
      </w:r>
      <w:r w:rsidRPr="00180A4A">
        <w:rPr>
          <w:rFonts w:ascii="Barlow" w:hAnsi="Barlow"/>
          <w:bCs/>
          <w:sz w:val="22"/>
          <w:szCs w:val="22"/>
        </w:rPr>
        <w:t xml:space="preserve"> </w:t>
      </w:r>
      <w:r w:rsidRPr="00180A4A">
        <w:rPr>
          <w:rFonts w:ascii="Barlow" w:hAnsi="Barlow"/>
          <w:b/>
          <w:bCs/>
          <w:sz w:val="22"/>
          <w:szCs w:val="22"/>
        </w:rPr>
        <w:t>del Plan Nacional de Vacunación</w:t>
      </w:r>
      <w:r w:rsidRPr="00180A4A">
        <w:rPr>
          <w:rFonts w:ascii="Barlow" w:hAnsi="Barlow"/>
          <w:bCs/>
          <w:sz w:val="22"/>
          <w:szCs w:val="22"/>
        </w:rPr>
        <w:t xml:space="preserve">, estableciendo nuevas obligaciones en cabeza de EPS, Secretarías de Salud, CCNR y Pasajeros frente al control sanitario de vuelos provenientes de Leticia y asignando y distribuyendo vacunas que van llegando al país de las distintas farmacéuticas. </w:t>
      </w:r>
    </w:p>
    <w:p w:rsidR="00180A4A" w:rsidRPr="00180A4A" w:rsidRDefault="00180A4A" w:rsidP="00180A4A">
      <w:pPr>
        <w:jc w:val="both"/>
        <w:rPr>
          <w:rFonts w:ascii="Barlow" w:hAnsi="Barlow"/>
          <w:sz w:val="22"/>
          <w:szCs w:val="22"/>
        </w:rPr>
      </w:pPr>
      <w:r w:rsidRPr="00180A4A">
        <w:rPr>
          <w:rFonts w:ascii="Barlow" w:hAnsi="Barlow"/>
          <w:bCs/>
          <w:sz w:val="22"/>
          <w:szCs w:val="22"/>
        </w:rPr>
        <w:t xml:space="preserve">Así mismo, </w:t>
      </w:r>
      <w:r w:rsidRPr="00180A4A">
        <w:rPr>
          <w:rFonts w:ascii="Barlow" w:hAnsi="Barlow"/>
          <w:sz w:val="22"/>
          <w:szCs w:val="22"/>
        </w:rPr>
        <w:t xml:space="preserve">con base en la situación epidemiológica actual, el </w:t>
      </w:r>
      <w:proofErr w:type="spellStart"/>
      <w:r w:rsidRPr="00180A4A">
        <w:rPr>
          <w:rFonts w:ascii="Barlow" w:hAnsi="Barlow"/>
          <w:sz w:val="22"/>
          <w:szCs w:val="22"/>
        </w:rPr>
        <w:t>MinInterior</w:t>
      </w:r>
      <w:proofErr w:type="spellEnd"/>
      <w:r w:rsidRPr="00180A4A">
        <w:rPr>
          <w:rFonts w:ascii="Barlow" w:hAnsi="Barlow"/>
          <w:sz w:val="22"/>
          <w:szCs w:val="22"/>
        </w:rPr>
        <w:t xml:space="preserve"> y </w:t>
      </w:r>
      <w:proofErr w:type="spellStart"/>
      <w:r w:rsidRPr="00180A4A">
        <w:rPr>
          <w:rFonts w:ascii="Barlow" w:hAnsi="Barlow"/>
          <w:sz w:val="22"/>
          <w:szCs w:val="22"/>
        </w:rPr>
        <w:t>MinSalud</w:t>
      </w:r>
      <w:proofErr w:type="spellEnd"/>
      <w:r w:rsidRPr="00180A4A">
        <w:rPr>
          <w:rFonts w:ascii="Barlow" w:hAnsi="Barlow"/>
          <w:sz w:val="22"/>
          <w:szCs w:val="22"/>
        </w:rPr>
        <w:t xml:space="preserve"> ordenan </w:t>
      </w:r>
      <w:r w:rsidRPr="00180A4A">
        <w:rPr>
          <w:rFonts w:ascii="Barlow" w:hAnsi="Barlow"/>
          <w:b/>
          <w:sz w:val="22"/>
          <w:szCs w:val="22"/>
        </w:rPr>
        <w:t>medidas diferenciales para los grupos de ciudades y regiones</w:t>
      </w:r>
      <w:r w:rsidRPr="00180A4A">
        <w:rPr>
          <w:rFonts w:ascii="Barlow" w:hAnsi="Barlow"/>
          <w:sz w:val="22"/>
          <w:szCs w:val="22"/>
        </w:rPr>
        <w:t xml:space="preserve"> que se encuentren con ocupación de unidades de cuidados intensivos entre: (i) 50-69%; (ii) 79-79%; (iii) 80-84%; (iv) superiores al 85%. Entre las medidas se encuentran instaurar pico y cédula y establecer restricciones nocturnas de movilidad entre el 5 y 19 de abril. Así mismo, se hacen recomendaciones para las familias y comunidad para prevenir el contagio de COVID-19.</w:t>
      </w:r>
    </w:p>
    <w:p w:rsidR="00180A4A" w:rsidRPr="00180A4A" w:rsidRDefault="00180A4A" w:rsidP="00180A4A">
      <w:pPr>
        <w:jc w:val="both"/>
        <w:rPr>
          <w:rFonts w:ascii="Barlow" w:hAnsi="Barlow"/>
          <w:sz w:val="22"/>
          <w:szCs w:val="22"/>
        </w:rPr>
      </w:pPr>
      <w:r w:rsidRPr="00180A4A">
        <w:rPr>
          <w:rFonts w:ascii="Barlow" w:hAnsi="Barlow"/>
          <w:bCs/>
          <w:sz w:val="22"/>
          <w:szCs w:val="22"/>
        </w:rPr>
        <w:t xml:space="preserve">Finalmente, se resalta la expedición del </w:t>
      </w:r>
      <w:r w:rsidRPr="00180A4A">
        <w:rPr>
          <w:rFonts w:ascii="Barlow" w:hAnsi="Barlow"/>
          <w:b/>
          <w:bCs/>
          <w:sz w:val="22"/>
          <w:szCs w:val="22"/>
        </w:rPr>
        <w:t xml:space="preserve">Plan de Normalización del Registro de Situaciones de Control y Grupos Empresariales </w:t>
      </w:r>
      <w:r w:rsidRPr="00180A4A">
        <w:rPr>
          <w:rFonts w:ascii="Barlow" w:hAnsi="Barlow"/>
          <w:bCs/>
          <w:sz w:val="22"/>
          <w:szCs w:val="22"/>
        </w:rPr>
        <w:t xml:space="preserve">donde la </w:t>
      </w:r>
      <w:proofErr w:type="spellStart"/>
      <w:r w:rsidRPr="00180A4A">
        <w:rPr>
          <w:rFonts w:ascii="Barlow" w:hAnsi="Barlow"/>
          <w:bCs/>
          <w:sz w:val="22"/>
          <w:szCs w:val="22"/>
        </w:rPr>
        <w:t>SuperSociedades</w:t>
      </w:r>
      <w:proofErr w:type="spellEnd"/>
      <w:r w:rsidRPr="00180A4A">
        <w:rPr>
          <w:rFonts w:ascii="Barlow" w:hAnsi="Barlow"/>
          <w:sz w:val="22"/>
          <w:szCs w:val="22"/>
        </w:rPr>
        <w:t xml:space="preserve"> insta a matrices y controlantes a verificar el cumplimiento de la normativa vigente, haciendo énfasis en la importancia de la fecha de configuración del control, de las sociedades vinculadas y la modificación de algunas </w:t>
      </w:r>
      <w:r w:rsidRPr="00180A4A">
        <w:rPr>
          <w:rFonts w:ascii="Barlow" w:hAnsi="Barlow"/>
          <w:b/>
          <w:sz w:val="22"/>
          <w:szCs w:val="22"/>
        </w:rPr>
        <w:t>reglas para el reparto de las acciones de tutela</w:t>
      </w:r>
      <w:r w:rsidRPr="00180A4A">
        <w:rPr>
          <w:rFonts w:ascii="Barlow" w:hAnsi="Barlow"/>
          <w:sz w:val="22"/>
          <w:szCs w:val="22"/>
        </w:rPr>
        <w:t>.</w:t>
      </w:r>
    </w:p>
    <w:p w:rsidR="009D6CB3" w:rsidRPr="005C5087" w:rsidRDefault="009D6CB3" w:rsidP="009D6CB3">
      <w:pPr>
        <w:jc w:val="both"/>
        <w:rPr>
          <w:rFonts w:ascii="Barlow" w:hAnsi="Barlow"/>
          <w:sz w:val="22"/>
          <w:szCs w:val="22"/>
        </w:rPr>
      </w:pPr>
    </w:p>
    <w:p w:rsidR="009D6CB3" w:rsidRPr="005C5087" w:rsidRDefault="009D6CB3" w:rsidP="009D6CB3">
      <w:pPr>
        <w:jc w:val="both"/>
        <w:rPr>
          <w:rFonts w:ascii="Barlow" w:hAnsi="Barlow"/>
          <w:sz w:val="22"/>
          <w:szCs w:val="22"/>
        </w:rPr>
      </w:pPr>
      <w:r w:rsidRPr="005C5087">
        <w:rPr>
          <w:rFonts w:ascii="Barlow" w:hAnsi="Barlow"/>
          <w:sz w:val="22"/>
          <w:szCs w:val="22"/>
        </w:rPr>
        <w:t xml:space="preserve">Medellín, </w:t>
      </w:r>
      <w:r w:rsidR="00180A4A">
        <w:rPr>
          <w:rFonts w:ascii="Barlow" w:hAnsi="Barlow"/>
          <w:sz w:val="22"/>
          <w:szCs w:val="22"/>
        </w:rPr>
        <w:t xml:space="preserve">12 </w:t>
      </w:r>
      <w:bookmarkStart w:id="0" w:name="_GoBack"/>
      <w:bookmarkEnd w:id="0"/>
      <w:r>
        <w:rPr>
          <w:rFonts w:ascii="Barlow" w:hAnsi="Barlow"/>
          <w:sz w:val="22"/>
          <w:szCs w:val="22"/>
        </w:rPr>
        <w:t>abril</w:t>
      </w:r>
      <w:r w:rsidRPr="005C5087">
        <w:rPr>
          <w:rFonts w:ascii="Barlow" w:hAnsi="Barlow"/>
          <w:sz w:val="22"/>
          <w:szCs w:val="22"/>
        </w:rPr>
        <w:t xml:space="preserve"> de 2021.</w:t>
      </w:r>
    </w:p>
    <w:p w:rsidR="009D6CB3" w:rsidRPr="005C5087" w:rsidRDefault="009D6CB3" w:rsidP="009D6CB3">
      <w:pPr>
        <w:jc w:val="both"/>
        <w:rPr>
          <w:rFonts w:ascii="Barlow" w:hAnsi="Barlow"/>
          <w:sz w:val="22"/>
          <w:szCs w:val="22"/>
        </w:rPr>
      </w:pPr>
    </w:p>
    <w:p w:rsidR="008F5B19" w:rsidRDefault="009D6CB3" w:rsidP="009D6CB3">
      <w:r w:rsidRPr="005C5087">
        <w:rPr>
          <w:rStyle w:val="Textoennegrita"/>
          <w:rFonts w:ascii="Barlow" w:hAnsi="Barlow"/>
          <w:color w:val="00AEC7"/>
          <w:sz w:val="22"/>
          <w:szCs w:val="22"/>
        </w:rPr>
        <w:t>Gerencia de Asuntos Legales</w:t>
      </w:r>
      <w:r w:rsidRPr="005C5087">
        <w:rPr>
          <w:rFonts w:ascii="Barlow" w:hAnsi="Barlow"/>
          <w:color w:val="4A4F54"/>
          <w:sz w:val="22"/>
          <w:szCs w:val="22"/>
        </w:rPr>
        <w:br/>
      </w:r>
      <w:r w:rsidRPr="005C5087">
        <w:rPr>
          <w:rStyle w:val="Textoennegrita"/>
          <w:rFonts w:ascii="Barlow" w:hAnsi="Barlow"/>
          <w:color w:val="4A4F54"/>
          <w:sz w:val="22"/>
          <w:szCs w:val="22"/>
        </w:rPr>
        <w:t>SURACOLOMBIA</w:t>
      </w:r>
      <w:r w:rsidRPr="005C5087">
        <w:rPr>
          <w:rFonts w:ascii="Barlow" w:hAnsi="Barlow"/>
          <w:color w:val="4A4F54"/>
          <w:sz w:val="22"/>
          <w:szCs w:val="22"/>
        </w:rPr>
        <w:br/>
      </w:r>
      <w:hyperlink r:id="rId6" w:history="1">
        <w:r w:rsidRPr="005C5087">
          <w:rPr>
            <w:rStyle w:val="Hipervnculo"/>
            <w:rFonts w:ascii="Barlow" w:hAnsi="Barlow"/>
            <w:sz w:val="22"/>
            <w:szCs w:val="22"/>
          </w:rPr>
          <w:t>regulacion@suramericana.com.co</w:t>
        </w:r>
      </w:hyperlink>
      <w:r w:rsidRPr="005C5087">
        <w:rPr>
          <w:rFonts w:ascii="Barlow" w:hAnsi="Barlow"/>
          <w:color w:val="4A4F54"/>
          <w:sz w:val="22"/>
          <w:szCs w:val="22"/>
        </w:rPr>
        <w:br/>
      </w:r>
      <w:hyperlink r:id="rId7" w:history="1">
        <w:r w:rsidRPr="005C5087">
          <w:rPr>
            <w:rStyle w:val="Hipervnculo"/>
            <w:rFonts w:ascii="Barlow" w:hAnsi="Barlow"/>
            <w:sz w:val="22"/>
            <w:szCs w:val="22"/>
          </w:rPr>
          <w:t>www.segurossura.com</w:t>
        </w:r>
      </w:hyperlink>
    </w:p>
    <w:sectPr w:rsidR="008F5B1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78" w:rsidRDefault="001B6578" w:rsidP="009D6CB3">
      <w:pPr>
        <w:spacing w:before="0" w:after="0" w:line="240" w:lineRule="auto"/>
      </w:pPr>
      <w:r>
        <w:separator/>
      </w:r>
    </w:p>
  </w:endnote>
  <w:endnote w:type="continuationSeparator" w:id="0">
    <w:p w:rsidR="001B6578" w:rsidRDefault="001B6578" w:rsidP="009D6C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Joey">
    <w:panose1 w:val="02000506040000020004"/>
    <w:charset w:val="00"/>
    <w:family w:val="modern"/>
    <w:notTrueType/>
    <w:pitch w:val="variable"/>
    <w:sig w:usb0="A000002F" w:usb1="5000A06A" w:usb2="00000000" w:usb3="00000000" w:csb0="00000093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78" w:rsidRDefault="001B6578" w:rsidP="009D6CB3">
      <w:pPr>
        <w:spacing w:before="0" w:after="0" w:line="240" w:lineRule="auto"/>
      </w:pPr>
      <w:r>
        <w:separator/>
      </w:r>
    </w:p>
  </w:footnote>
  <w:footnote w:type="continuationSeparator" w:id="0">
    <w:p w:rsidR="001B6578" w:rsidRDefault="001B6578" w:rsidP="009D6CB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B3" w:rsidRPr="00C57FCD" w:rsidRDefault="009D6CB3" w:rsidP="009D6CB3">
    <w:pPr>
      <w:spacing w:before="0" w:after="0" w:line="240" w:lineRule="auto"/>
      <w:rPr>
        <w:rFonts w:ascii="FS Joey" w:hAnsi="FS Joey" w:cs="Calibri"/>
        <w:b/>
        <w:bCs/>
        <w:color w:val="0033A0"/>
        <w:sz w:val="36"/>
        <w:szCs w:val="36"/>
      </w:rPr>
    </w:pPr>
    <w:r w:rsidRPr="00C57FCD">
      <w:rPr>
        <w:rFonts w:ascii="FS Joey" w:hAnsi="FS Joey" w:cs="Calibri"/>
        <w:b/>
        <w:bCs/>
        <w:noProof/>
        <w:color w:val="0033A0"/>
        <w:sz w:val="36"/>
        <w:szCs w:val="36"/>
        <w:lang w:eastAsia="es-CO"/>
      </w:rPr>
      <w:drawing>
        <wp:anchor distT="0" distB="0" distL="114300" distR="114300" simplePos="0" relativeHeight="251659264" behindDoc="0" locked="0" layoutInCell="1" allowOverlap="1" wp14:anchorId="6C79149B" wp14:editId="7C187059">
          <wp:simplePos x="0" y="0"/>
          <wp:positionH relativeFrom="column">
            <wp:posOffset>5400675</wp:posOffset>
          </wp:positionH>
          <wp:positionV relativeFrom="paragraph">
            <wp:posOffset>-203835</wp:posOffset>
          </wp:positionV>
          <wp:extent cx="981075" cy="395605"/>
          <wp:effectExtent l="0" t="0" r="9525" b="444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ura -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S Joey" w:hAnsi="FS Joey" w:cs="Calibri"/>
        <w:b/>
        <w:bCs/>
        <w:color w:val="0033A0"/>
        <w:sz w:val="36"/>
        <w:szCs w:val="36"/>
      </w:rPr>
      <w:t>Normas de la Semana</w:t>
    </w:r>
  </w:p>
  <w:p w:rsidR="009D6CB3" w:rsidRPr="00253E22" w:rsidRDefault="009D6CB3" w:rsidP="009D6CB3">
    <w:pPr>
      <w:spacing w:before="0" w:after="0" w:line="240" w:lineRule="auto"/>
      <w:rPr>
        <w:rFonts w:ascii="FS Joey" w:hAnsi="FS Joey" w:cs="Calibri"/>
        <w:b/>
        <w:color w:val="001F51"/>
        <w:sz w:val="30"/>
        <w:szCs w:val="30"/>
      </w:rPr>
    </w:pPr>
    <w:r w:rsidRPr="00253E22">
      <w:rPr>
        <w:rFonts w:ascii="FS Joey" w:hAnsi="FS Joey"/>
        <w:noProof/>
        <w:color w:val="E7E6E6" w:themeColor="background2"/>
        <w:sz w:val="18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9AF1DA" wp14:editId="633D2B35">
              <wp:simplePos x="0" y="0"/>
              <wp:positionH relativeFrom="page">
                <wp:align>left</wp:align>
              </wp:positionH>
              <wp:positionV relativeFrom="paragraph">
                <wp:posOffset>205740</wp:posOffset>
              </wp:positionV>
              <wp:extent cx="29411091" cy="142875"/>
              <wp:effectExtent l="0" t="0" r="2540" b="9525"/>
              <wp:wrapNone/>
              <wp:docPr id="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9411091" cy="142875"/>
                      </a:xfrm>
                      <a:prstGeom prst="rect">
                        <a:avLst/>
                      </a:prstGeom>
                      <a:solidFill>
                        <a:srgbClr val="E3E829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474386" id="Rectangle 3" o:spid="_x0000_s1026" style="position:absolute;margin-left:0;margin-top:16.2pt;width:2315.85pt;height:11.2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bmlgIAAJ0FAAAOAAAAZHJzL2Uyb0RvYy54bWysVN9P2zAQfp+0/8Hy+0iTlkEjUlQVmCZV&#10;gICJZ9exm2iOz7Pdpt1fz9lJQ8eQkKa9WLbv++733cXlrlFkK6yrQRc0PRlRIjSHstbrgv54uvly&#10;TonzTJdMgRYF3QtHL2efP120JhcZVKBKYQkq0S5vTUEr702eJI5XomHuBIzQKJRgG+bxaddJaVmL&#10;2huVZKPR16QFWxoLXDiHv1edkM6ifikF93dSOuGJKij65uNp47kKZzK7YPnaMlPVvHeD/YMXDas1&#10;Gh1UXTHPyMbWf6lqam7BgfQnHJoEpKy5iDFgNOnoTTSPFTMixoLJcWZIk/t/avnt9t6SuizomBLN&#10;GizRAyaN6bUSZBzS0xqXI+rR3NsQoDNL4D8d0bCoECXmziAeSx+wyR/g8HA9bSdtE+gYMdnF9O+H&#10;9IudJxw/s+kkTUfTlBKOwnSSnZ+dRq0sP9CNdf6bgIaES0Etmo5pZ9ul88EBlh8g0VlQdXlTKxUf&#10;dr1aKEu2DHvhenx9nk177e4YpnQAawi0TmP3I2I39WZeQ4s3v1cisJR+EBKzicGk0a/Yx2KwyjgX&#10;2nep6tGBJtHUQBx/TOzxgdp5NZCzj8kDI1oG7QdyU2uw7ylQg8uyw/eVdl3cIQUrKPfYSBa6CXOG&#10;39RYoiVz/p5ZHCkcPlwT/g4PqaAtKPQ3Siqwv9/7D3jsdJRS0uKIFtT92jArKFHfNc7ANJ1MwkzH&#10;x+T0LMOHPZasjiV60ywAK4/thd7Fa8B7dbhKC80zbpN5sIoipjnaLij39vBY+G514D7iYj6PMJxj&#10;w/xSPxp+qHpowafdM7Om71OPLX4Lh3Fm+Zt27bChHhrmGw+yjr38mtc+37gDYov3+yosmeN3RL1u&#10;1dkLAAAA//8DAFBLAwQUAAYACAAAACEAJKRxb98AAAAHAQAADwAAAGRycy9kb3ducmV2LnhtbEyP&#10;MU/DMBSEdyT+g/WQWBB1koZSQl6qCgk2EG3p0M2N3diq/RzFbhv+PWaC8XSnu+/qxegsO6shGE8I&#10;+SQDpqj10lCH8LV5vZ8DC1GQFNaTQvhWARbN9VUtKukvtFLndexYKqFQCQQdY19xHlqtnAgT3ytK&#10;3sEPTsQkh47LQVxSubO8yLIZd8JQWtCiVy9atcf1ySF8vOdvO3vYro6ZLuhuszPLT2sQb2/G5TOw&#10;qMb4F4Zf/IQOTWLa+xPJwCxCOhIRpkUJLLnlbJo/AtsjPJRPwJua/+dvfgAAAP//AwBQSwECLQAU&#10;AAYACAAAACEAtoM4kv4AAADhAQAAEwAAAAAAAAAAAAAAAAAAAAAAW0NvbnRlbnRfVHlwZXNdLnht&#10;bFBLAQItABQABgAIAAAAIQA4/SH/1gAAAJQBAAALAAAAAAAAAAAAAAAAAC8BAABfcmVscy8ucmVs&#10;c1BLAQItABQABgAIAAAAIQCFUkbmlgIAAJ0FAAAOAAAAAAAAAAAAAAAAAC4CAABkcnMvZTJvRG9j&#10;LnhtbFBLAQItABQABgAIAAAAIQAkpHFv3wAAAAcBAAAPAAAAAAAAAAAAAAAAAPAEAABkcnMvZG93&#10;bnJldi54bWxQSwUGAAAAAAQABADzAAAA/AUAAAAA&#10;" fillcolor="#e3e829" stroked="f" strokeweight=".5pt">
              <v:path arrowok="t"/>
              <o:lock v:ext="edit" aspectratio="t"/>
              <w10:wrap anchorx="page"/>
            </v:rect>
          </w:pict>
        </mc:Fallback>
      </mc:AlternateContent>
    </w:r>
  </w:p>
  <w:p w:rsidR="009D6CB3" w:rsidRDefault="009D6CB3" w:rsidP="009D6CB3">
    <w:pPr>
      <w:spacing w:before="0" w:after="0" w:line="240" w:lineRule="auto"/>
      <w:rPr>
        <w:rFonts w:asciiTheme="majorHAnsi" w:hAnsiTheme="majorHAnsi" w:cstheme="majorHAnsi"/>
        <w:b/>
      </w:rPr>
    </w:pPr>
  </w:p>
  <w:p w:rsidR="009D6CB3" w:rsidRDefault="009D6C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B3"/>
    <w:rsid w:val="00180A4A"/>
    <w:rsid w:val="001B6578"/>
    <w:rsid w:val="00300BA8"/>
    <w:rsid w:val="009D6CB3"/>
    <w:rsid w:val="009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A13E7"/>
  <w15:chartTrackingRefBased/>
  <w15:docId w15:val="{45D45AB4-235C-4E48-840D-870C43E5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CB3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9D6CB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D6CB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6CB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CB3"/>
    <w:rPr>
      <w:rFonts w:eastAsiaTheme="minorEastAsi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D6CB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CB3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gurossur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ulacion@suramericana.com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Merchan Ortiz</dc:creator>
  <cp:keywords/>
  <dc:description/>
  <cp:lastModifiedBy>Tomas Merchan Ortiz</cp:lastModifiedBy>
  <cp:revision>1</cp:revision>
  <dcterms:created xsi:type="dcterms:W3CDTF">2021-04-12T17:32:00Z</dcterms:created>
  <dcterms:modified xsi:type="dcterms:W3CDTF">2021-04-12T18:59:00Z</dcterms:modified>
</cp:coreProperties>
</file>