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FC916" w14:textId="5301A43B" w:rsidR="00A66B7B" w:rsidRPr="0063071A" w:rsidRDefault="006B8F51" w:rsidP="00DB1073">
      <w:pPr>
        <w:pStyle w:val="Ttulo1"/>
        <w:keepNext w:val="0"/>
        <w:pBdr>
          <w:left w:val="single" w:sz="4" w:space="1" w:color="auto"/>
        </w:pBdr>
        <w:spacing w:before="0" w:after="0"/>
        <w:jc w:val="center"/>
        <w:rPr>
          <w:caps/>
        </w:rPr>
      </w:pPr>
      <w:r w:rsidRPr="0F1A2D26">
        <w:rPr>
          <w:caps/>
        </w:rPr>
        <w:t>Anexo</w:t>
      </w:r>
      <w:r w:rsidR="00352CF4">
        <w:rPr>
          <w:caps/>
        </w:rPr>
        <w:t xml:space="preserve"> 1</w:t>
      </w:r>
      <w:r w:rsidR="00755F86">
        <w:rPr>
          <w:caps/>
        </w:rPr>
        <w:t>5</w:t>
      </w:r>
      <w:r w:rsidR="6FDC29CF" w:rsidRPr="0F1A2D26">
        <w:rPr>
          <w:caps/>
        </w:rPr>
        <w:t>:</w:t>
      </w:r>
      <w:bookmarkStart w:id="0" w:name="_Toc267211378"/>
      <w:r w:rsidR="00A66B7B" w:rsidRPr="0F1A2D26">
        <w:rPr>
          <w:caps/>
        </w:rPr>
        <w:t xml:space="preserve"> POLÍTICAS DE INVERSIÓN</w:t>
      </w:r>
      <w:r w:rsidR="127BA386" w:rsidRPr="0F1A2D26">
        <w:rPr>
          <w:caps/>
        </w:rPr>
        <w:t xml:space="preserve"> </w:t>
      </w:r>
      <w:r w:rsidR="00A66B7B" w:rsidRPr="0F1A2D26">
        <w:rPr>
          <w:caps/>
        </w:rPr>
        <w:t xml:space="preserve">Y </w:t>
      </w:r>
      <w:bookmarkEnd w:id="0"/>
      <w:r w:rsidR="007B6A21">
        <w:rPr>
          <w:caps/>
        </w:rPr>
        <w:t>gobernanza de</w:t>
      </w:r>
      <w:r w:rsidR="00E15EB6">
        <w:rPr>
          <w:caps/>
        </w:rPr>
        <w:t xml:space="preserve"> LA GESTIÓN DE LAS INVERSIONES</w:t>
      </w:r>
      <w:r w:rsidR="00FE6086">
        <w:rPr>
          <w:caps/>
        </w:rPr>
        <w:t xml:space="preserve"> de las entidades aseguradoras</w:t>
      </w:r>
    </w:p>
    <w:p w14:paraId="5B8F2BC4" w14:textId="77777777" w:rsidR="005E2D72" w:rsidRDefault="005E2D72" w:rsidP="00DB1073">
      <w:pPr>
        <w:pBdr>
          <w:left w:val="single" w:sz="4" w:space="1" w:color="auto"/>
        </w:pBdr>
        <w:rPr>
          <w:rFonts w:cs="Arial"/>
          <w:sz w:val="16"/>
          <w:szCs w:val="16"/>
        </w:rPr>
      </w:pPr>
    </w:p>
    <w:p w14:paraId="6AB21C44" w14:textId="77777777" w:rsidR="005E2D72" w:rsidRDefault="005E2D72" w:rsidP="00DB1073">
      <w:pPr>
        <w:pBdr>
          <w:left w:val="single" w:sz="4" w:space="1" w:color="auto"/>
        </w:pBdr>
        <w:rPr>
          <w:rFonts w:cs="Arial"/>
          <w:sz w:val="16"/>
          <w:szCs w:val="16"/>
        </w:rPr>
      </w:pPr>
    </w:p>
    <w:p w14:paraId="7CC0A288" w14:textId="600D979E" w:rsidR="0217C2A7" w:rsidRDefault="0217C2A7" w:rsidP="00DB1073">
      <w:pPr>
        <w:pBdr>
          <w:left w:val="single" w:sz="4" w:space="1" w:color="auto"/>
        </w:pBdr>
        <w:rPr>
          <w:rFonts w:cs="Arial"/>
          <w:sz w:val="16"/>
          <w:szCs w:val="16"/>
          <w:lang w:val="es-ES"/>
        </w:rPr>
      </w:pPr>
      <w:r w:rsidRPr="00FBCB9C">
        <w:rPr>
          <w:rFonts w:eastAsia="Times" w:cs="Arial"/>
          <w:sz w:val="16"/>
          <w:szCs w:val="16"/>
          <w:lang w:val="es-ES"/>
        </w:rPr>
        <w:t>Corresponde a la junta directiva de las entidades aseguradoras adoptar</w:t>
      </w:r>
      <w:r w:rsidR="000F0C19">
        <w:rPr>
          <w:rFonts w:eastAsia="Times" w:cs="Arial"/>
          <w:sz w:val="16"/>
          <w:szCs w:val="16"/>
          <w:lang w:val="es-ES"/>
        </w:rPr>
        <w:t xml:space="preserve"> y hacer seguimiento a</w:t>
      </w:r>
      <w:r w:rsidRPr="00FBCB9C">
        <w:rPr>
          <w:rFonts w:eastAsia="Times" w:cs="Arial"/>
          <w:sz w:val="16"/>
          <w:szCs w:val="16"/>
          <w:lang w:val="es-ES"/>
        </w:rPr>
        <w:t xml:space="preserve"> la política de inversión</w:t>
      </w:r>
      <w:r w:rsidR="00FB5B95">
        <w:rPr>
          <w:rFonts w:eastAsia="Times" w:cs="Arial"/>
          <w:sz w:val="16"/>
          <w:szCs w:val="16"/>
          <w:lang w:val="es-ES"/>
        </w:rPr>
        <w:t xml:space="preserve"> y</w:t>
      </w:r>
      <w:r w:rsidRPr="00FBCB9C">
        <w:rPr>
          <w:rFonts w:eastAsia="Times" w:cs="Arial"/>
          <w:sz w:val="16"/>
          <w:szCs w:val="16"/>
          <w:lang w:val="es-ES"/>
        </w:rPr>
        <w:t xml:space="preserve"> </w:t>
      </w:r>
      <w:r w:rsidR="003F3F95">
        <w:rPr>
          <w:rFonts w:eastAsia="Times" w:cs="Arial"/>
          <w:sz w:val="16"/>
          <w:szCs w:val="16"/>
          <w:lang w:val="es-ES"/>
        </w:rPr>
        <w:t xml:space="preserve">aprobar </w:t>
      </w:r>
      <w:r w:rsidR="007343DD">
        <w:rPr>
          <w:rFonts w:eastAsia="Times" w:cs="Arial"/>
          <w:sz w:val="16"/>
          <w:szCs w:val="16"/>
          <w:lang w:val="es-ES"/>
        </w:rPr>
        <w:t>la</w:t>
      </w:r>
      <w:r w:rsidRPr="00FBCB9C">
        <w:rPr>
          <w:rFonts w:eastAsia="Times" w:cs="Arial"/>
          <w:sz w:val="16"/>
          <w:szCs w:val="16"/>
          <w:lang w:val="es-ES"/>
        </w:rPr>
        <w:t xml:space="preserve"> asignación estratégica de </w:t>
      </w:r>
      <w:r w:rsidR="00440DC4">
        <w:rPr>
          <w:rFonts w:eastAsia="Times" w:cs="Arial"/>
          <w:sz w:val="16"/>
          <w:szCs w:val="16"/>
          <w:lang w:val="es-ES"/>
        </w:rPr>
        <w:t xml:space="preserve">los </w:t>
      </w:r>
      <w:r w:rsidRPr="00FBCB9C">
        <w:rPr>
          <w:rFonts w:eastAsia="Times" w:cs="Arial"/>
          <w:sz w:val="16"/>
          <w:szCs w:val="16"/>
          <w:lang w:val="es-ES"/>
        </w:rPr>
        <w:t xml:space="preserve">activos </w:t>
      </w:r>
      <w:r w:rsidR="00440DC4">
        <w:rPr>
          <w:rFonts w:eastAsia="Times" w:cs="Arial"/>
          <w:sz w:val="16"/>
          <w:szCs w:val="16"/>
          <w:lang w:val="es-ES"/>
        </w:rPr>
        <w:t>que respaldan las reservas técnicas y demás activos de la entidad</w:t>
      </w:r>
      <w:r w:rsidRPr="00FBCB9C">
        <w:rPr>
          <w:rFonts w:eastAsia="Times" w:cs="Arial"/>
          <w:sz w:val="16"/>
          <w:szCs w:val="16"/>
          <w:lang w:val="es-ES"/>
        </w:rPr>
        <w:t xml:space="preserve"> de conformidad con </w:t>
      </w:r>
      <w:r w:rsidR="00A505E8">
        <w:rPr>
          <w:rFonts w:eastAsia="Times" w:cs="Arial"/>
          <w:sz w:val="16"/>
          <w:szCs w:val="16"/>
          <w:lang w:val="es-ES"/>
        </w:rPr>
        <w:t xml:space="preserve">las políticas y </w:t>
      </w:r>
      <w:r w:rsidR="000722E1">
        <w:rPr>
          <w:rFonts w:eastAsia="Times" w:cs="Arial"/>
          <w:sz w:val="16"/>
          <w:szCs w:val="16"/>
          <w:lang w:val="es-ES"/>
        </w:rPr>
        <w:t xml:space="preserve">atendiendo </w:t>
      </w:r>
      <w:r w:rsidRPr="00FBCB9C">
        <w:rPr>
          <w:rFonts w:eastAsia="Times" w:cs="Arial"/>
          <w:sz w:val="16"/>
          <w:szCs w:val="16"/>
          <w:lang w:val="es-ES"/>
        </w:rPr>
        <w:t xml:space="preserve">lo establecido en la normatividad vigente. Para tal fin, a </w:t>
      </w:r>
      <w:proofErr w:type="gramStart"/>
      <w:r w:rsidRPr="00FBCB9C">
        <w:rPr>
          <w:rFonts w:eastAsia="Times" w:cs="Arial"/>
          <w:sz w:val="16"/>
          <w:szCs w:val="16"/>
          <w:lang w:val="es-ES"/>
        </w:rPr>
        <w:t>continuación</w:t>
      </w:r>
      <w:proofErr w:type="gramEnd"/>
      <w:r w:rsidRPr="00FBCB9C">
        <w:rPr>
          <w:rFonts w:eastAsia="Times" w:cs="Arial"/>
          <w:sz w:val="16"/>
          <w:szCs w:val="16"/>
          <w:lang w:val="es-ES"/>
        </w:rPr>
        <w:t xml:space="preserve"> se establece el contenido mínimo de las políticas de inversión</w:t>
      </w:r>
      <w:r w:rsidR="003F3F95">
        <w:rPr>
          <w:rFonts w:eastAsia="Times" w:cs="Arial"/>
          <w:sz w:val="16"/>
          <w:szCs w:val="16"/>
          <w:lang w:val="es-ES"/>
        </w:rPr>
        <w:t>.</w:t>
      </w:r>
      <w:r w:rsidR="00FB5B95">
        <w:rPr>
          <w:rFonts w:eastAsia="Times" w:cs="Arial"/>
          <w:sz w:val="16"/>
          <w:szCs w:val="16"/>
          <w:lang w:val="es-ES"/>
        </w:rPr>
        <w:t xml:space="preserve"> </w:t>
      </w:r>
      <w:r w:rsidR="00FB5B95" w:rsidRPr="00FB5B95">
        <w:rPr>
          <w:rFonts w:cs="Arial"/>
          <w:sz w:val="16"/>
          <w:szCs w:val="16"/>
          <w:lang w:val="es-CO"/>
        </w:rPr>
        <w:t xml:space="preserve">Para tal fin, a </w:t>
      </w:r>
      <w:proofErr w:type="gramStart"/>
      <w:r w:rsidR="00FB5B95" w:rsidRPr="00FB5B95">
        <w:rPr>
          <w:rFonts w:cs="Arial"/>
          <w:sz w:val="16"/>
          <w:szCs w:val="16"/>
          <w:lang w:val="es-CO"/>
        </w:rPr>
        <w:t>continuación</w:t>
      </w:r>
      <w:proofErr w:type="gramEnd"/>
      <w:r w:rsidR="00FB5B95" w:rsidRPr="00FB5B95">
        <w:rPr>
          <w:rFonts w:cs="Arial"/>
          <w:sz w:val="16"/>
          <w:szCs w:val="16"/>
          <w:lang w:val="es-CO"/>
        </w:rPr>
        <w:t xml:space="preserve"> se establece el contenido mínimo de las políticas de inversión, y las responsabilidades de la junta directiva, el comité de riesgos y la auditoría interna en relación con dicha política y sus deberes de documentación y reporte.</w:t>
      </w:r>
    </w:p>
    <w:p w14:paraId="050AF103" w14:textId="28BB2876" w:rsidR="00A66B7B" w:rsidRDefault="00A66B7B" w:rsidP="00DB1073">
      <w:pPr>
        <w:pBdr>
          <w:left w:val="single" w:sz="4" w:space="1" w:color="auto"/>
        </w:pBdr>
        <w:rPr>
          <w:rFonts w:cs="Arial"/>
          <w:sz w:val="16"/>
          <w:szCs w:val="16"/>
        </w:rPr>
      </w:pPr>
    </w:p>
    <w:p w14:paraId="7E7D2F8A" w14:textId="77777777" w:rsidR="00C33FF9" w:rsidRPr="00392F65" w:rsidRDefault="00C33FF9" w:rsidP="00DB1073">
      <w:pPr>
        <w:pBdr>
          <w:left w:val="single" w:sz="4" w:space="1" w:color="auto"/>
        </w:pBdr>
        <w:rPr>
          <w:rFonts w:cs="Arial"/>
          <w:sz w:val="12"/>
          <w:szCs w:val="16"/>
        </w:rPr>
      </w:pPr>
    </w:p>
    <w:p w14:paraId="5C1EACAB" w14:textId="28EA5343" w:rsidR="00A66B7B" w:rsidRDefault="00A66B7B" w:rsidP="00DB1073">
      <w:pPr>
        <w:pStyle w:val="Ttulo2"/>
        <w:pBdr>
          <w:left w:val="single" w:sz="4" w:space="1" w:color="auto"/>
        </w:pBdr>
        <w:spacing w:before="0" w:after="0"/>
      </w:pPr>
      <w:bookmarkStart w:id="1" w:name="_Toc267211379"/>
      <w:r>
        <w:t>1. Políticas de inversión</w:t>
      </w:r>
      <w:bookmarkEnd w:id="1"/>
    </w:p>
    <w:p w14:paraId="5023141B" w14:textId="77777777" w:rsidR="00A66B7B" w:rsidRPr="00392F65" w:rsidRDefault="00A66B7B" w:rsidP="00DB1073">
      <w:pPr>
        <w:pBdr>
          <w:left w:val="single" w:sz="4" w:space="1" w:color="auto"/>
        </w:pBdr>
        <w:rPr>
          <w:rFonts w:eastAsia="Arial Unicode MS"/>
          <w:sz w:val="14"/>
        </w:rPr>
      </w:pPr>
    </w:p>
    <w:p w14:paraId="04E7F9F8" w14:textId="3AFC37AD" w:rsidR="000C531B" w:rsidRPr="004E4B1C" w:rsidRDefault="004B4317" w:rsidP="00DB1073">
      <w:pPr>
        <w:pBdr>
          <w:left w:val="single" w:sz="4" w:space="1" w:color="auto"/>
        </w:pBdr>
        <w:rPr>
          <w:rFonts w:cs="Arial"/>
          <w:sz w:val="16"/>
          <w:szCs w:val="16"/>
        </w:rPr>
      </w:pPr>
      <w:r w:rsidRPr="1B61BCBB">
        <w:rPr>
          <w:rFonts w:cs="Arial"/>
          <w:sz w:val="16"/>
          <w:szCs w:val="16"/>
        </w:rPr>
        <w:t>La p</w:t>
      </w:r>
      <w:r w:rsidR="00EE0F5B" w:rsidRPr="1B61BCBB">
        <w:rPr>
          <w:rFonts w:cs="Arial"/>
          <w:sz w:val="16"/>
          <w:szCs w:val="16"/>
        </w:rPr>
        <w:t>olítica de inversión de que trata</w:t>
      </w:r>
      <w:r w:rsidR="00212ECA">
        <w:rPr>
          <w:rFonts w:cs="Arial"/>
          <w:sz w:val="16"/>
          <w:szCs w:val="16"/>
        </w:rPr>
        <w:t>n</w:t>
      </w:r>
      <w:r w:rsidR="00EE0F5B" w:rsidRPr="1B61BCBB">
        <w:rPr>
          <w:rFonts w:cs="Arial"/>
          <w:sz w:val="16"/>
          <w:szCs w:val="16"/>
        </w:rPr>
        <w:t xml:space="preserve"> </w:t>
      </w:r>
      <w:r w:rsidR="003A482D" w:rsidRPr="1B61BCBB">
        <w:rPr>
          <w:rFonts w:cs="Arial"/>
          <w:sz w:val="16"/>
          <w:szCs w:val="16"/>
        </w:rPr>
        <w:t>los artículo</w:t>
      </w:r>
      <w:r w:rsidR="002B1AB0" w:rsidRPr="1B61BCBB">
        <w:rPr>
          <w:rFonts w:cs="Arial"/>
          <w:sz w:val="16"/>
          <w:szCs w:val="16"/>
        </w:rPr>
        <w:t>s</w:t>
      </w:r>
      <w:r w:rsidR="5D226BBF" w:rsidRPr="1B61BCBB">
        <w:rPr>
          <w:rFonts w:cs="Arial"/>
          <w:sz w:val="16"/>
          <w:szCs w:val="16"/>
        </w:rPr>
        <w:t xml:space="preserve"> 2.31.3.1.4, 2.31.3.1.5, 2.31.3.1.10, </w:t>
      </w:r>
      <w:r w:rsidR="7F711793" w:rsidRPr="1B61BCBB">
        <w:rPr>
          <w:rFonts w:cs="Arial"/>
          <w:sz w:val="16"/>
          <w:szCs w:val="16"/>
        </w:rPr>
        <w:t>2.31.3.1.11, 2.31.3.1.22 y 2.31.3.1.23</w:t>
      </w:r>
      <w:r w:rsidR="003A482D" w:rsidRPr="1B61BCBB">
        <w:rPr>
          <w:rFonts w:cs="Arial"/>
          <w:sz w:val="16"/>
          <w:szCs w:val="16"/>
        </w:rPr>
        <w:t xml:space="preserve"> </w:t>
      </w:r>
      <w:r w:rsidR="0097035E" w:rsidRPr="1B61BCBB">
        <w:rPr>
          <w:rFonts w:cs="Arial"/>
          <w:sz w:val="16"/>
          <w:szCs w:val="16"/>
        </w:rPr>
        <w:t>del Decreto 2555 de 2010</w:t>
      </w:r>
      <w:r w:rsidR="00212ECA">
        <w:rPr>
          <w:rFonts w:cs="Arial"/>
          <w:sz w:val="16"/>
          <w:szCs w:val="16"/>
        </w:rPr>
        <w:t xml:space="preserve"> </w:t>
      </w:r>
      <w:r w:rsidR="00212ECA" w:rsidRPr="00D72EED">
        <w:rPr>
          <w:rFonts w:cs="Arial"/>
          <w:sz w:val="16"/>
          <w:szCs w:val="16"/>
          <w:lang w:val="es-CO"/>
        </w:rPr>
        <w:t>u otras disposiciones</w:t>
      </w:r>
      <w:r w:rsidR="00A93171" w:rsidRPr="1B61BCBB">
        <w:rPr>
          <w:rFonts w:cs="Arial"/>
          <w:sz w:val="16"/>
          <w:szCs w:val="16"/>
        </w:rPr>
        <w:t xml:space="preserve"> debe contener</w:t>
      </w:r>
      <w:r w:rsidR="00637CC7">
        <w:rPr>
          <w:rFonts w:cs="Arial"/>
          <w:sz w:val="16"/>
          <w:szCs w:val="16"/>
        </w:rPr>
        <w:t>,</w:t>
      </w:r>
      <w:r w:rsidR="00A93171" w:rsidRPr="1B61BCBB">
        <w:rPr>
          <w:rFonts w:cs="Arial"/>
          <w:sz w:val="16"/>
          <w:szCs w:val="16"/>
        </w:rPr>
        <w:t xml:space="preserve"> como mínimo</w:t>
      </w:r>
      <w:r w:rsidR="000C531B" w:rsidRPr="1B61BCBB">
        <w:rPr>
          <w:rFonts w:cs="Arial"/>
          <w:sz w:val="16"/>
          <w:szCs w:val="16"/>
        </w:rPr>
        <w:t>, la siguiente información:</w:t>
      </w:r>
    </w:p>
    <w:p w14:paraId="562C75D1" w14:textId="20049190" w:rsidR="000C531B" w:rsidRDefault="000C531B" w:rsidP="00DB1073">
      <w:pPr>
        <w:pBdr>
          <w:left w:val="single" w:sz="4" w:space="1" w:color="auto"/>
        </w:pBdr>
        <w:rPr>
          <w:rFonts w:cs="Arial"/>
          <w:bCs/>
          <w:sz w:val="16"/>
          <w:szCs w:val="16"/>
        </w:rPr>
      </w:pPr>
    </w:p>
    <w:p w14:paraId="39C04735" w14:textId="06F0CAD4" w:rsidR="000C531B" w:rsidRPr="00E33D23" w:rsidRDefault="000C531B" w:rsidP="00DB1073">
      <w:pPr>
        <w:pBdr>
          <w:left w:val="single" w:sz="4" w:space="1" w:color="auto"/>
        </w:pBdr>
        <w:autoSpaceDE w:val="0"/>
        <w:autoSpaceDN w:val="0"/>
        <w:adjustRightInd w:val="0"/>
        <w:rPr>
          <w:rFonts w:eastAsia="Arial Unicode MS" w:cs="Arial"/>
          <w:b/>
          <w:bCs/>
          <w:sz w:val="16"/>
          <w:szCs w:val="16"/>
        </w:rPr>
      </w:pPr>
      <w:r w:rsidRPr="4C06314D">
        <w:rPr>
          <w:rFonts w:cs="Arial"/>
          <w:sz w:val="16"/>
          <w:szCs w:val="16"/>
        </w:rPr>
        <w:t xml:space="preserve">1.1. Objetivos de </w:t>
      </w:r>
      <w:r w:rsidR="00C70D46" w:rsidRPr="4C06314D">
        <w:rPr>
          <w:rFonts w:cs="Arial"/>
          <w:sz w:val="16"/>
          <w:szCs w:val="16"/>
        </w:rPr>
        <w:t>la política de inversión</w:t>
      </w:r>
      <w:r w:rsidR="005D5E5E" w:rsidRPr="4C06314D">
        <w:rPr>
          <w:rFonts w:cs="Arial"/>
          <w:sz w:val="16"/>
          <w:szCs w:val="16"/>
        </w:rPr>
        <w:t>,</w:t>
      </w:r>
      <w:r w:rsidR="007A1742" w:rsidRPr="4C06314D">
        <w:rPr>
          <w:rFonts w:cs="Arial"/>
          <w:b/>
          <w:bCs/>
          <w:sz w:val="16"/>
          <w:szCs w:val="16"/>
        </w:rPr>
        <w:t xml:space="preserve"> </w:t>
      </w:r>
      <w:r w:rsidR="007A1742" w:rsidRPr="4C06314D">
        <w:rPr>
          <w:rFonts w:cs="Arial"/>
          <w:sz w:val="16"/>
          <w:szCs w:val="16"/>
        </w:rPr>
        <w:t>los cuales deben</w:t>
      </w:r>
      <w:r w:rsidR="005864C1" w:rsidRPr="4C06314D">
        <w:rPr>
          <w:rFonts w:cs="Arial"/>
          <w:sz w:val="16"/>
          <w:szCs w:val="16"/>
        </w:rPr>
        <w:t xml:space="preserve"> </w:t>
      </w:r>
      <w:r w:rsidR="00637CC7">
        <w:rPr>
          <w:rFonts w:cs="Arial"/>
          <w:sz w:val="16"/>
          <w:szCs w:val="16"/>
        </w:rPr>
        <w:t>atender</w:t>
      </w:r>
      <w:r w:rsidR="007A1742" w:rsidRPr="4C06314D">
        <w:rPr>
          <w:rFonts w:cs="Arial"/>
          <w:sz w:val="16"/>
          <w:szCs w:val="16"/>
        </w:rPr>
        <w:t xml:space="preserve"> </w:t>
      </w:r>
      <w:r w:rsidR="009F6B44">
        <w:rPr>
          <w:rFonts w:cs="Arial"/>
          <w:sz w:val="16"/>
          <w:szCs w:val="16"/>
        </w:rPr>
        <w:t>como mínimo</w:t>
      </w:r>
      <w:r w:rsidR="007A1742" w:rsidRPr="4C06314D">
        <w:rPr>
          <w:rFonts w:cs="Arial"/>
          <w:sz w:val="16"/>
          <w:szCs w:val="16"/>
        </w:rPr>
        <w:t xml:space="preserve"> </w:t>
      </w:r>
      <w:r w:rsidR="003D1571">
        <w:rPr>
          <w:rFonts w:cs="Arial"/>
          <w:sz w:val="16"/>
          <w:szCs w:val="16"/>
        </w:rPr>
        <w:t xml:space="preserve">a: </w:t>
      </w:r>
      <w:r w:rsidR="004C0B36" w:rsidRPr="4C06314D">
        <w:rPr>
          <w:rFonts w:cs="Arial"/>
          <w:sz w:val="16"/>
          <w:szCs w:val="16"/>
        </w:rPr>
        <w:t xml:space="preserve">(i) </w:t>
      </w:r>
      <w:r w:rsidR="007A1742" w:rsidRPr="4C06314D">
        <w:rPr>
          <w:rFonts w:cs="Arial"/>
          <w:sz w:val="16"/>
          <w:szCs w:val="16"/>
        </w:rPr>
        <w:t xml:space="preserve">la naturaleza, duración y moneda </w:t>
      </w:r>
      <w:r w:rsidR="007D41AD" w:rsidRPr="4C06314D">
        <w:rPr>
          <w:rFonts w:cs="Arial"/>
          <w:sz w:val="16"/>
          <w:szCs w:val="16"/>
        </w:rPr>
        <w:t>subyacentes a las obligaciones por contra</w:t>
      </w:r>
      <w:r w:rsidR="0019121E" w:rsidRPr="4C06314D">
        <w:rPr>
          <w:rFonts w:cs="Arial"/>
          <w:sz w:val="16"/>
          <w:szCs w:val="16"/>
        </w:rPr>
        <w:t>tos de seguro y reaseguro</w:t>
      </w:r>
      <w:r w:rsidR="009C7AF9" w:rsidRPr="4C06314D">
        <w:rPr>
          <w:rFonts w:cs="Arial"/>
          <w:sz w:val="16"/>
          <w:szCs w:val="16"/>
        </w:rPr>
        <w:t xml:space="preserve">, </w:t>
      </w:r>
      <w:r w:rsidR="004C0B36" w:rsidRPr="4C06314D">
        <w:rPr>
          <w:rFonts w:cs="Arial"/>
          <w:sz w:val="16"/>
          <w:szCs w:val="16"/>
        </w:rPr>
        <w:t>(</w:t>
      </w:r>
      <w:proofErr w:type="spellStart"/>
      <w:r w:rsidR="004C0B36" w:rsidRPr="4C06314D">
        <w:rPr>
          <w:rFonts w:cs="Arial"/>
          <w:sz w:val="16"/>
          <w:szCs w:val="16"/>
        </w:rPr>
        <w:t>ii</w:t>
      </w:r>
      <w:proofErr w:type="spellEnd"/>
      <w:r w:rsidR="004C0B36" w:rsidRPr="4C06314D">
        <w:rPr>
          <w:rFonts w:cs="Arial"/>
          <w:sz w:val="16"/>
          <w:szCs w:val="16"/>
        </w:rPr>
        <w:t xml:space="preserve">) el </w:t>
      </w:r>
      <w:r w:rsidR="007A1742" w:rsidRPr="4C06314D">
        <w:rPr>
          <w:rFonts w:cs="Arial"/>
          <w:sz w:val="16"/>
          <w:szCs w:val="16"/>
        </w:rPr>
        <w:t xml:space="preserve">calce </w:t>
      </w:r>
      <w:r w:rsidR="008531D4" w:rsidRPr="4C06314D">
        <w:rPr>
          <w:rFonts w:cs="Arial"/>
          <w:sz w:val="16"/>
          <w:szCs w:val="16"/>
        </w:rPr>
        <w:t xml:space="preserve">adecuado </w:t>
      </w:r>
      <w:r w:rsidR="007A1742" w:rsidRPr="4C06314D">
        <w:rPr>
          <w:rFonts w:cs="Arial"/>
          <w:sz w:val="16"/>
          <w:szCs w:val="16"/>
        </w:rPr>
        <w:t>de plazo</w:t>
      </w:r>
      <w:r w:rsidR="00637CC7">
        <w:rPr>
          <w:rFonts w:cs="Arial"/>
          <w:sz w:val="16"/>
          <w:szCs w:val="16"/>
        </w:rPr>
        <w:t>s</w:t>
      </w:r>
      <w:r w:rsidR="007A1742" w:rsidRPr="4C06314D">
        <w:rPr>
          <w:rFonts w:cs="Arial"/>
          <w:sz w:val="16"/>
          <w:szCs w:val="16"/>
        </w:rPr>
        <w:t xml:space="preserve"> y tasas entre </w:t>
      </w:r>
      <w:r w:rsidR="004C0B36" w:rsidRPr="4C06314D">
        <w:rPr>
          <w:rFonts w:cs="Arial"/>
          <w:sz w:val="16"/>
          <w:szCs w:val="16"/>
        </w:rPr>
        <w:t>los</w:t>
      </w:r>
      <w:r w:rsidR="007A1742" w:rsidRPr="4C06314D">
        <w:rPr>
          <w:rFonts w:cs="Arial"/>
          <w:sz w:val="16"/>
          <w:szCs w:val="16"/>
        </w:rPr>
        <w:t xml:space="preserve"> activos y pasivos, </w:t>
      </w:r>
      <w:r w:rsidR="00FC7A92" w:rsidRPr="4C06314D">
        <w:rPr>
          <w:rFonts w:cs="Arial"/>
          <w:sz w:val="16"/>
          <w:szCs w:val="16"/>
        </w:rPr>
        <w:t>y (</w:t>
      </w:r>
      <w:proofErr w:type="spellStart"/>
      <w:r w:rsidR="00FC7A92" w:rsidRPr="4C06314D">
        <w:rPr>
          <w:rFonts w:cs="Arial"/>
          <w:sz w:val="16"/>
          <w:szCs w:val="16"/>
        </w:rPr>
        <w:t>iii</w:t>
      </w:r>
      <w:proofErr w:type="spellEnd"/>
      <w:r w:rsidR="00FC7A92" w:rsidRPr="4C06314D">
        <w:rPr>
          <w:rFonts w:cs="Arial"/>
          <w:sz w:val="16"/>
          <w:szCs w:val="16"/>
        </w:rPr>
        <w:t>)</w:t>
      </w:r>
      <w:r w:rsidR="007A1742" w:rsidRPr="4C06314D">
        <w:rPr>
          <w:rFonts w:cs="Arial"/>
          <w:sz w:val="16"/>
          <w:szCs w:val="16"/>
        </w:rPr>
        <w:t xml:space="preserve"> </w:t>
      </w:r>
      <w:r w:rsidR="71FC6287" w:rsidRPr="4C06314D">
        <w:rPr>
          <w:rFonts w:cs="Arial"/>
          <w:sz w:val="16"/>
          <w:szCs w:val="16"/>
        </w:rPr>
        <w:t xml:space="preserve">las </w:t>
      </w:r>
      <w:r w:rsidR="00C75A54" w:rsidRPr="4C06314D">
        <w:rPr>
          <w:rFonts w:cs="Arial"/>
          <w:sz w:val="16"/>
          <w:szCs w:val="16"/>
        </w:rPr>
        <w:t xml:space="preserve">necesidades de </w:t>
      </w:r>
      <w:r w:rsidR="007A1742" w:rsidRPr="4C06314D">
        <w:rPr>
          <w:rFonts w:cs="Arial"/>
          <w:sz w:val="16"/>
          <w:szCs w:val="16"/>
        </w:rPr>
        <w:t>liquide</w:t>
      </w:r>
      <w:r w:rsidR="007C7318" w:rsidRPr="4C06314D">
        <w:rPr>
          <w:rFonts w:cs="Arial"/>
          <w:sz w:val="16"/>
          <w:szCs w:val="16"/>
        </w:rPr>
        <w:t>z</w:t>
      </w:r>
      <w:r w:rsidR="00637CC7">
        <w:rPr>
          <w:rFonts w:cs="Arial"/>
          <w:sz w:val="16"/>
          <w:szCs w:val="16"/>
        </w:rPr>
        <w:t>,</w:t>
      </w:r>
      <w:r w:rsidR="00673F4D" w:rsidRPr="4C06314D">
        <w:rPr>
          <w:rFonts w:cs="Arial"/>
          <w:sz w:val="16"/>
          <w:szCs w:val="16"/>
        </w:rPr>
        <w:t xml:space="preserve"> </w:t>
      </w:r>
      <w:r w:rsidR="009A423B" w:rsidRPr="4C06314D">
        <w:rPr>
          <w:rFonts w:cs="Arial"/>
          <w:sz w:val="16"/>
          <w:szCs w:val="16"/>
        </w:rPr>
        <w:t>conforme a</w:t>
      </w:r>
      <w:r w:rsidR="006E37A7">
        <w:rPr>
          <w:rFonts w:cs="Arial"/>
          <w:sz w:val="16"/>
          <w:szCs w:val="16"/>
        </w:rPr>
        <w:t xml:space="preserve">l modelo </w:t>
      </w:r>
      <w:r w:rsidR="009A423B" w:rsidRPr="4C06314D">
        <w:rPr>
          <w:rFonts w:cs="Arial"/>
          <w:sz w:val="16"/>
          <w:szCs w:val="16"/>
        </w:rPr>
        <w:t>de negocio</w:t>
      </w:r>
      <w:r w:rsidR="00CE5100" w:rsidRPr="4C06314D">
        <w:rPr>
          <w:rFonts w:cs="Arial"/>
          <w:sz w:val="16"/>
          <w:szCs w:val="16"/>
        </w:rPr>
        <w:t xml:space="preserve"> </w:t>
      </w:r>
      <w:r w:rsidR="00A53681" w:rsidRPr="4C06314D">
        <w:rPr>
          <w:rFonts w:cs="Arial"/>
          <w:sz w:val="16"/>
          <w:szCs w:val="16"/>
        </w:rPr>
        <w:t>y portafolio de riesgos asegurados</w:t>
      </w:r>
      <w:r w:rsidR="008D24E6" w:rsidRPr="4C06314D">
        <w:rPr>
          <w:rFonts w:cs="Arial"/>
          <w:sz w:val="16"/>
          <w:szCs w:val="16"/>
        </w:rPr>
        <w:t>.</w:t>
      </w:r>
    </w:p>
    <w:p w14:paraId="664355AD" w14:textId="6EC7C70F" w:rsidR="000C531B" w:rsidRDefault="000C531B" w:rsidP="00DB1073">
      <w:pPr>
        <w:pBdr>
          <w:left w:val="single" w:sz="4" w:space="1" w:color="auto"/>
        </w:pBdr>
        <w:tabs>
          <w:tab w:val="num" w:pos="360"/>
          <w:tab w:val="num" w:pos="540"/>
        </w:tabs>
        <w:autoSpaceDE w:val="0"/>
        <w:autoSpaceDN w:val="0"/>
        <w:adjustRightInd w:val="0"/>
        <w:ind w:left="540" w:hanging="540"/>
        <w:rPr>
          <w:rFonts w:eastAsia="Arial Unicode MS" w:cs="Arial"/>
          <w:b/>
          <w:sz w:val="16"/>
          <w:szCs w:val="16"/>
        </w:rPr>
      </w:pPr>
    </w:p>
    <w:p w14:paraId="4A88F0D1" w14:textId="18EDA719" w:rsidR="000C531B" w:rsidRPr="004E4B1C" w:rsidRDefault="000C531B" w:rsidP="00DB1073">
      <w:pPr>
        <w:pBdr>
          <w:left w:val="single" w:sz="4" w:space="1" w:color="auto"/>
        </w:pBdr>
        <w:rPr>
          <w:rFonts w:cs="Arial"/>
          <w:sz w:val="16"/>
          <w:szCs w:val="16"/>
        </w:rPr>
      </w:pPr>
      <w:r w:rsidRPr="4C06314D">
        <w:rPr>
          <w:rFonts w:cs="Arial"/>
          <w:sz w:val="16"/>
          <w:szCs w:val="16"/>
        </w:rPr>
        <w:t>1.2. Estructura organizacional para la gestión de inversiones y administración de sus riesgos</w:t>
      </w:r>
      <w:r w:rsidR="00C30534">
        <w:rPr>
          <w:rFonts w:cs="Arial"/>
          <w:sz w:val="16"/>
          <w:szCs w:val="16"/>
        </w:rPr>
        <w:t xml:space="preserve">, incluyendo las </w:t>
      </w:r>
      <w:r w:rsidRPr="4C06314D">
        <w:rPr>
          <w:rFonts w:cs="Arial"/>
          <w:sz w:val="16"/>
          <w:szCs w:val="16"/>
        </w:rPr>
        <w:t>áreas que participan con sus principales funciones</w:t>
      </w:r>
      <w:r w:rsidR="00C30534">
        <w:rPr>
          <w:rFonts w:cs="Arial"/>
          <w:sz w:val="16"/>
          <w:szCs w:val="16"/>
        </w:rPr>
        <w:t>, facultades, responsabilidades, entre otr</w:t>
      </w:r>
      <w:r w:rsidR="00A914C6">
        <w:rPr>
          <w:rFonts w:cs="Arial"/>
          <w:sz w:val="16"/>
          <w:szCs w:val="16"/>
        </w:rPr>
        <w:t>a</w:t>
      </w:r>
      <w:r w:rsidR="00C30534">
        <w:rPr>
          <w:rFonts w:cs="Arial"/>
          <w:sz w:val="16"/>
          <w:szCs w:val="16"/>
        </w:rPr>
        <w:t>s.</w:t>
      </w:r>
    </w:p>
    <w:p w14:paraId="1A965116" w14:textId="43B9ADC8" w:rsidR="000C531B" w:rsidRPr="00222BFB" w:rsidRDefault="000C531B" w:rsidP="00DB1073">
      <w:pPr>
        <w:pBdr>
          <w:left w:val="single" w:sz="4" w:space="1" w:color="auto"/>
        </w:pBdr>
        <w:tabs>
          <w:tab w:val="num" w:pos="360"/>
          <w:tab w:val="num" w:pos="540"/>
        </w:tabs>
        <w:ind w:left="540" w:hanging="540"/>
        <w:rPr>
          <w:rFonts w:cs="Arial"/>
          <w:sz w:val="14"/>
          <w:szCs w:val="16"/>
        </w:rPr>
      </w:pPr>
    </w:p>
    <w:p w14:paraId="67739384" w14:textId="65F4C649" w:rsidR="00452B70" w:rsidRPr="00222BFB" w:rsidRDefault="000C531B" w:rsidP="00DB1073">
      <w:pPr>
        <w:pBdr>
          <w:left w:val="single" w:sz="4" w:space="1" w:color="auto"/>
        </w:pBdr>
        <w:autoSpaceDE w:val="0"/>
        <w:autoSpaceDN w:val="0"/>
        <w:adjustRightInd w:val="0"/>
        <w:rPr>
          <w:rFonts w:cs="Arial"/>
          <w:sz w:val="16"/>
          <w:szCs w:val="16"/>
        </w:rPr>
      </w:pPr>
      <w:r w:rsidRPr="00222BFB">
        <w:rPr>
          <w:rFonts w:cs="Arial"/>
          <w:sz w:val="16"/>
          <w:szCs w:val="16"/>
        </w:rPr>
        <w:t xml:space="preserve">1.3. </w:t>
      </w:r>
      <w:r w:rsidR="00612063" w:rsidRPr="00222BFB">
        <w:rPr>
          <w:rFonts w:cs="Arial"/>
          <w:sz w:val="16"/>
          <w:szCs w:val="16"/>
        </w:rPr>
        <w:t xml:space="preserve">Criterios generales para la selección de los activos </w:t>
      </w:r>
      <w:r w:rsidR="0080432F" w:rsidRPr="00222BFB">
        <w:rPr>
          <w:rFonts w:cs="Arial"/>
          <w:sz w:val="16"/>
          <w:szCs w:val="16"/>
        </w:rPr>
        <w:t>susceptibles de inversión</w:t>
      </w:r>
      <w:r w:rsidR="006E4B91" w:rsidRPr="00222BFB">
        <w:rPr>
          <w:rFonts w:cs="Arial"/>
          <w:sz w:val="16"/>
          <w:szCs w:val="16"/>
        </w:rPr>
        <w:t xml:space="preserve"> y los límites de inversión</w:t>
      </w:r>
      <w:r w:rsidR="004C6025" w:rsidRPr="00222BFB">
        <w:rPr>
          <w:rFonts w:cs="Arial"/>
          <w:sz w:val="16"/>
          <w:szCs w:val="16"/>
        </w:rPr>
        <w:t>,</w:t>
      </w:r>
      <w:r w:rsidR="0080432F" w:rsidRPr="00222BFB">
        <w:rPr>
          <w:rFonts w:cs="Arial"/>
          <w:sz w:val="16"/>
          <w:szCs w:val="16"/>
        </w:rPr>
        <w:t xml:space="preserve"> </w:t>
      </w:r>
      <w:r w:rsidR="00CA41DA" w:rsidRPr="00222BFB">
        <w:rPr>
          <w:rFonts w:cs="Arial"/>
          <w:sz w:val="16"/>
          <w:szCs w:val="16"/>
        </w:rPr>
        <w:t xml:space="preserve">separando por </w:t>
      </w:r>
      <w:r w:rsidR="00612063" w:rsidRPr="00222BFB">
        <w:rPr>
          <w:rFonts w:cs="Arial"/>
          <w:sz w:val="16"/>
          <w:szCs w:val="16"/>
        </w:rPr>
        <w:t>tipo</w:t>
      </w:r>
      <w:r w:rsidR="00CA41DA" w:rsidRPr="00222BFB">
        <w:rPr>
          <w:rFonts w:cs="Arial"/>
          <w:sz w:val="16"/>
          <w:szCs w:val="16"/>
        </w:rPr>
        <w:t>s</w:t>
      </w:r>
      <w:r w:rsidR="00612063" w:rsidRPr="00222BFB">
        <w:rPr>
          <w:rFonts w:cs="Arial"/>
          <w:sz w:val="16"/>
          <w:szCs w:val="16"/>
        </w:rPr>
        <w:t xml:space="preserve"> de activo</w:t>
      </w:r>
      <w:r w:rsidR="00CA41DA" w:rsidRPr="00222BFB">
        <w:rPr>
          <w:rFonts w:cs="Arial"/>
          <w:sz w:val="16"/>
          <w:szCs w:val="16"/>
        </w:rPr>
        <w:t>s</w:t>
      </w:r>
      <w:r w:rsidR="00612063" w:rsidRPr="00222BFB">
        <w:rPr>
          <w:rFonts w:cs="Arial"/>
          <w:sz w:val="16"/>
          <w:szCs w:val="16"/>
        </w:rPr>
        <w:t xml:space="preserve">, plazos, monedas y emisores, y la forma en que dichos activos e instrumentos de inversión contribuyen al logro de los objetivos de la política de </w:t>
      </w:r>
      <w:r w:rsidRPr="00222BFB">
        <w:rPr>
          <w:rFonts w:cs="Arial"/>
          <w:sz w:val="16"/>
          <w:szCs w:val="16"/>
        </w:rPr>
        <w:t>inversi</w:t>
      </w:r>
      <w:r w:rsidR="006722AF" w:rsidRPr="00222BFB">
        <w:rPr>
          <w:rFonts w:cs="Arial"/>
          <w:sz w:val="16"/>
          <w:szCs w:val="16"/>
        </w:rPr>
        <w:t>ón</w:t>
      </w:r>
      <w:r w:rsidR="008B509C" w:rsidRPr="00222BFB">
        <w:rPr>
          <w:rFonts w:cs="Arial"/>
          <w:sz w:val="16"/>
          <w:szCs w:val="16"/>
        </w:rPr>
        <w:t>.</w:t>
      </w:r>
      <w:r w:rsidR="5D1DBB8F" w:rsidRPr="00222BFB">
        <w:rPr>
          <w:rFonts w:cs="Arial"/>
          <w:sz w:val="16"/>
          <w:szCs w:val="16"/>
        </w:rPr>
        <w:t xml:space="preserve"> </w:t>
      </w:r>
    </w:p>
    <w:p w14:paraId="09959563" w14:textId="77777777" w:rsidR="00452B70" w:rsidRPr="00222BFB" w:rsidRDefault="00452B70" w:rsidP="00DB1073">
      <w:pPr>
        <w:pBdr>
          <w:left w:val="single" w:sz="4" w:space="1" w:color="auto"/>
        </w:pBdr>
        <w:tabs>
          <w:tab w:val="num" w:pos="720"/>
        </w:tabs>
        <w:autoSpaceDE w:val="0"/>
        <w:autoSpaceDN w:val="0"/>
        <w:adjustRightInd w:val="0"/>
        <w:ind w:left="720" w:hanging="720"/>
        <w:rPr>
          <w:rFonts w:eastAsia="Arial Unicode MS" w:cs="Arial"/>
          <w:sz w:val="14"/>
          <w:szCs w:val="14"/>
        </w:rPr>
      </w:pPr>
    </w:p>
    <w:p w14:paraId="2F9D986C" w14:textId="2D6E6580" w:rsidR="000C531B" w:rsidRPr="004E4B1C" w:rsidRDefault="000C531B" w:rsidP="00DB1073">
      <w:pPr>
        <w:pBdr>
          <w:left w:val="single" w:sz="4" w:space="1" w:color="auto"/>
        </w:pBdr>
        <w:autoSpaceDE w:val="0"/>
        <w:autoSpaceDN w:val="0"/>
        <w:adjustRightInd w:val="0"/>
        <w:rPr>
          <w:rFonts w:cs="Arial"/>
          <w:sz w:val="16"/>
          <w:szCs w:val="16"/>
        </w:rPr>
      </w:pPr>
      <w:r w:rsidRPr="4C06314D">
        <w:rPr>
          <w:rFonts w:cs="Arial"/>
          <w:sz w:val="16"/>
          <w:szCs w:val="16"/>
        </w:rPr>
        <w:t>1.3.1. Condiciones que deben cumplir los títulos y/o valores y los emisores</w:t>
      </w:r>
      <w:r w:rsidR="00796854">
        <w:rPr>
          <w:rFonts w:cs="Arial"/>
          <w:sz w:val="16"/>
          <w:szCs w:val="16"/>
        </w:rPr>
        <w:t>,</w:t>
      </w:r>
      <w:r w:rsidRPr="4C06314D">
        <w:rPr>
          <w:rFonts w:cs="Arial"/>
          <w:sz w:val="16"/>
          <w:szCs w:val="16"/>
        </w:rPr>
        <w:t xml:space="preserve"> nacionales y del exterior, tales como: calificación de riesgo crediticio, estándares de gobierno corporativo, área geográfica, sector económico y condiciones de los activos subyacentes de los fondos de inversión </w:t>
      </w:r>
      <w:proofErr w:type="spellStart"/>
      <w:r w:rsidR="00FB5B95">
        <w:rPr>
          <w:rFonts w:cs="Arial"/>
          <w:sz w:val="16"/>
          <w:szCs w:val="16"/>
        </w:rPr>
        <w:t>colectva</w:t>
      </w:r>
      <w:proofErr w:type="spellEnd"/>
      <w:r w:rsidRPr="4C06314D">
        <w:rPr>
          <w:rFonts w:cs="Arial"/>
          <w:sz w:val="16"/>
          <w:szCs w:val="16"/>
        </w:rPr>
        <w:t>, fondos de inversión u otros esquemas de inversión colectiva.</w:t>
      </w:r>
    </w:p>
    <w:p w14:paraId="44FB30F8" w14:textId="77777777" w:rsidR="000C531B" w:rsidRPr="001B0E60" w:rsidRDefault="000C531B" w:rsidP="00DB1073">
      <w:pPr>
        <w:pBdr>
          <w:left w:val="single" w:sz="4" w:space="1" w:color="auto"/>
        </w:pBdr>
        <w:autoSpaceDE w:val="0"/>
        <w:autoSpaceDN w:val="0"/>
        <w:adjustRightInd w:val="0"/>
        <w:rPr>
          <w:rFonts w:cs="Arial"/>
          <w:sz w:val="14"/>
          <w:szCs w:val="16"/>
        </w:rPr>
      </w:pPr>
    </w:p>
    <w:p w14:paraId="6F39363B" w14:textId="0442B0AD" w:rsidR="6B50331C" w:rsidRDefault="000C531B" w:rsidP="00DB1073">
      <w:pPr>
        <w:pBdr>
          <w:left w:val="single" w:sz="4" w:space="1" w:color="auto"/>
        </w:pBdr>
        <w:rPr>
          <w:rFonts w:cs="Arial"/>
          <w:sz w:val="16"/>
          <w:szCs w:val="16"/>
        </w:rPr>
      </w:pPr>
      <w:r w:rsidRPr="4C06314D">
        <w:rPr>
          <w:rFonts w:cs="Arial"/>
          <w:sz w:val="16"/>
          <w:szCs w:val="16"/>
        </w:rPr>
        <w:t xml:space="preserve">1.3.2. Condiciones que deben cumplir los fondos de inversión </w:t>
      </w:r>
      <w:r w:rsidRPr="73377CA0">
        <w:rPr>
          <w:rFonts w:cs="Arial"/>
          <w:sz w:val="16"/>
          <w:szCs w:val="16"/>
        </w:rPr>
        <w:t>colectiv</w:t>
      </w:r>
      <w:r w:rsidR="3C1C07B4" w:rsidRPr="73377CA0">
        <w:rPr>
          <w:rFonts w:cs="Arial"/>
          <w:sz w:val="16"/>
          <w:szCs w:val="16"/>
        </w:rPr>
        <w:t>a</w:t>
      </w:r>
      <w:r w:rsidRPr="4C06314D">
        <w:rPr>
          <w:rFonts w:cs="Arial"/>
          <w:sz w:val="16"/>
          <w:szCs w:val="16"/>
        </w:rPr>
        <w:t>, fondos de inversión u otros esquemas de inversión colectiva</w:t>
      </w:r>
      <w:r w:rsidR="00EC7DBC">
        <w:rPr>
          <w:rFonts w:cs="Arial"/>
          <w:sz w:val="16"/>
          <w:szCs w:val="16"/>
        </w:rPr>
        <w:t>,</w:t>
      </w:r>
      <w:r w:rsidRPr="4C06314D">
        <w:rPr>
          <w:rFonts w:cs="Arial"/>
          <w:sz w:val="16"/>
          <w:szCs w:val="16"/>
        </w:rPr>
        <w:t xml:space="preserve"> incluyendo las relativas a comisiones y </w:t>
      </w:r>
      <w:r w:rsidR="00EC7DBC">
        <w:rPr>
          <w:rFonts w:cs="Arial"/>
          <w:sz w:val="16"/>
          <w:szCs w:val="16"/>
        </w:rPr>
        <w:t xml:space="preserve">su </w:t>
      </w:r>
      <w:r w:rsidRPr="4C06314D">
        <w:rPr>
          <w:rFonts w:cs="Arial"/>
          <w:sz w:val="16"/>
          <w:szCs w:val="16"/>
        </w:rPr>
        <w:t xml:space="preserve">devolución. </w:t>
      </w:r>
    </w:p>
    <w:p w14:paraId="1DA6542E" w14:textId="77777777" w:rsidR="000C531B" w:rsidRPr="001B0E60" w:rsidRDefault="000C531B" w:rsidP="00DB1073">
      <w:pPr>
        <w:pBdr>
          <w:left w:val="single" w:sz="4" w:space="1" w:color="auto"/>
        </w:pBdr>
        <w:autoSpaceDE w:val="0"/>
        <w:autoSpaceDN w:val="0"/>
        <w:adjustRightInd w:val="0"/>
        <w:rPr>
          <w:rFonts w:cs="Arial"/>
          <w:sz w:val="14"/>
          <w:szCs w:val="16"/>
        </w:rPr>
      </w:pPr>
    </w:p>
    <w:p w14:paraId="54E11D2A" w14:textId="1B0A7759" w:rsidR="000C531B" w:rsidRPr="001B0E60" w:rsidRDefault="000C531B" w:rsidP="00DB1073">
      <w:pPr>
        <w:pBdr>
          <w:left w:val="single" w:sz="4" w:space="1" w:color="auto"/>
        </w:pBdr>
        <w:autoSpaceDE w:val="0"/>
        <w:autoSpaceDN w:val="0"/>
        <w:adjustRightInd w:val="0"/>
        <w:rPr>
          <w:rFonts w:cs="Arial"/>
          <w:sz w:val="16"/>
          <w:szCs w:val="16"/>
          <w:lang w:val="es-ES"/>
        </w:rPr>
      </w:pPr>
      <w:r w:rsidRPr="4C06314D">
        <w:rPr>
          <w:rFonts w:cs="Arial"/>
          <w:sz w:val="16"/>
          <w:szCs w:val="16"/>
        </w:rPr>
        <w:t xml:space="preserve">1.3.3. Mercados en los cuales la </w:t>
      </w:r>
      <w:r w:rsidR="7911EB00" w:rsidRPr="4C06314D">
        <w:rPr>
          <w:rFonts w:cs="Arial"/>
          <w:sz w:val="16"/>
          <w:szCs w:val="16"/>
        </w:rPr>
        <w:t xml:space="preserve">entidad </w:t>
      </w:r>
      <w:r w:rsidR="4A635588" w:rsidRPr="4C06314D">
        <w:rPr>
          <w:rFonts w:cs="Arial"/>
          <w:sz w:val="16"/>
          <w:szCs w:val="16"/>
        </w:rPr>
        <w:t>a</w:t>
      </w:r>
      <w:r w:rsidR="5EF965C5" w:rsidRPr="4C06314D">
        <w:rPr>
          <w:rFonts w:cs="Arial"/>
          <w:sz w:val="16"/>
          <w:szCs w:val="16"/>
        </w:rPr>
        <w:t>seguradora</w:t>
      </w:r>
      <w:r w:rsidRPr="4C06314D">
        <w:rPr>
          <w:rFonts w:cs="Arial"/>
          <w:sz w:val="16"/>
          <w:szCs w:val="16"/>
        </w:rPr>
        <w:t xml:space="preserve"> va a realizar </w:t>
      </w:r>
      <w:r w:rsidR="4A635588" w:rsidRPr="4C06314D">
        <w:rPr>
          <w:rFonts w:cs="Arial"/>
          <w:sz w:val="16"/>
          <w:szCs w:val="16"/>
        </w:rPr>
        <w:t>la negociaci</w:t>
      </w:r>
      <w:r w:rsidR="5F041A81" w:rsidRPr="4C06314D">
        <w:rPr>
          <w:rFonts w:cs="Arial"/>
          <w:sz w:val="16"/>
          <w:szCs w:val="16"/>
        </w:rPr>
        <w:t>ón</w:t>
      </w:r>
      <w:r w:rsidRPr="4C06314D">
        <w:rPr>
          <w:rFonts w:cs="Arial"/>
          <w:sz w:val="16"/>
          <w:szCs w:val="16"/>
        </w:rPr>
        <w:t xml:space="preserve"> de inversiones.</w:t>
      </w:r>
    </w:p>
    <w:p w14:paraId="2DE403A5" w14:textId="53B4730F" w:rsidR="000C531B" w:rsidRDefault="000C531B" w:rsidP="00DB1073">
      <w:pPr>
        <w:pBdr>
          <w:left w:val="single" w:sz="4" w:space="1" w:color="auto"/>
        </w:pBdr>
        <w:autoSpaceDE w:val="0"/>
        <w:autoSpaceDN w:val="0"/>
        <w:adjustRightInd w:val="0"/>
        <w:rPr>
          <w:rFonts w:cs="Arial"/>
          <w:sz w:val="14"/>
          <w:szCs w:val="16"/>
        </w:rPr>
      </w:pPr>
    </w:p>
    <w:p w14:paraId="4211FA3A" w14:textId="316EBA3B" w:rsidR="00A246E4" w:rsidRPr="00324239" w:rsidRDefault="00A246E4" w:rsidP="00DB1073">
      <w:pPr>
        <w:pStyle w:val="ListParagraph1"/>
        <w:ind w:left="0"/>
        <w:rPr>
          <w:b w:val="0"/>
          <w:sz w:val="16"/>
          <w:szCs w:val="16"/>
        </w:rPr>
      </w:pPr>
      <w:r w:rsidRPr="7BDB95E6">
        <w:rPr>
          <w:b w:val="0"/>
          <w:sz w:val="16"/>
          <w:szCs w:val="16"/>
          <w:lang w:eastAsia="es-CO"/>
        </w:rPr>
        <w:t xml:space="preserve">1.4. </w:t>
      </w:r>
      <w:bookmarkStart w:id="2" w:name="_Hlk67417343"/>
      <w:r w:rsidRPr="7BDB95E6">
        <w:rPr>
          <w:b w:val="0"/>
          <w:sz w:val="16"/>
          <w:szCs w:val="16"/>
          <w:lang w:eastAsia="es-CO"/>
        </w:rPr>
        <w:t>Tratamiento de los activos considerados como alternativ</w:t>
      </w:r>
      <w:r w:rsidR="004073D7" w:rsidRPr="7BDB95E6">
        <w:rPr>
          <w:b w:val="0"/>
          <w:sz w:val="16"/>
          <w:szCs w:val="16"/>
          <w:lang w:eastAsia="es-CO"/>
        </w:rPr>
        <w:t>o</w:t>
      </w:r>
      <w:r w:rsidRPr="7BDB95E6">
        <w:rPr>
          <w:b w:val="0"/>
          <w:sz w:val="16"/>
          <w:szCs w:val="16"/>
          <w:lang w:eastAsia="es-CO"/>
        </w:rPr>
        <w:t>s</w:t>
      </w:r>
      <w:r w:rsidR="00FB5B95">
        <w:rPr>
          <w:b w:val="0"/>
          <w:sz w:val="16"/>
          <w:szCs w:val="16"/>
          <w:lang w:eastAsia="es-CO"/>
        </w:rPr>
        <w:t>.</w:t>
      </w:r>
      <w:r w:rsidR="00FB5B95" w:rsidRPr="00FB5B95">
        <w:rPr>
          <w:b w:val="0"/>
          <w:sz w:val="16"/>
          <w:szCs w:val="16"/>
          <w:lang w:eastAsia="es-CO"/>
        </w:rPr>
        <w:t xml:space="preserve"> </w:t>
      </w:r>
      <w:bookmarkEnd w:id="2"/>
      <w:r w:rsidR="00FB5B95" w:rsidRPr="00FB5B95">
        <w:rPr>
          <w:b w:val="0"/>
          <w:sz w:val="16"/>
          <w:szCs w:val="16"/>
        </w:rPr>
        <w:t>En</w:t>
      </w:r>
      <w:r w:rsidR="00FB5B95" w:rsidRPr="00FB5B95">
        <w:rPr>
          <w:b w:val="0"/>
          <w:sz w:val="16"/>
        </w:rPr>
        <w:t xml:space="preserve"> caso de que la junta directiva decida </w:t>
      </w:r>
      <w:r w:rsidR="00FB5B95" w:rsidRPr="00FB5B95">
        <w:rPr>
          <w:b w:val="0"/>
          <w:sz w:val="16"/>
          <w:szCs w:val="16"/>
        </w:rPr>
        <w:t>contemplar activos alternativos</w:t>
      </w:r>
      <w:r w:rsidR="00FB5B95" w:rsidRPr="00FB5B95">
        <w:rPr>
          <w:b w:val="0"/>
          <w:sz w:val="16"/>
        </w:rPr>
        <w:t xml:space="preserve"> dentro de su política de inversión</w:t>
      </w:r>
      <w:r w:rsidR="00FB5B95" w:rsidRPr="00FB5B95">
        <w:rPr>
          <w:b w:val="0"/>
          <w:sz w:val="16"/>
          <w:szCs w:val="16"/>
        </w:rPr>
        <w:t>,</w:t>
      </w:r>
      <w:r w:rsidR="00FB5B95" w:rsidRPr="00FB5B95">
        <w:rPr>
          <w:b w:val="0"/>
          <w:sz w:val="16"/>
          <w:szCs w:val="16"/>
          <w:lang w:val="es-CO"/>
        </w:rPr>
        <w:t xml:space="preserve"> ésta</w:t>
      </w:r>
      <w:r w:rsidR="00FB5B95" w:rsidRPr="00FB5B95">
        <w:rPr>
          <w:b w:val="0"/>
          <w:sz w:val="16"/>
          <w:lang w:val="es-CO"/>
        </w:rPr>
        <w:t xml:space="preserve"> debe incluir un capítulo que señale </w:t>
      </w:r>
      <w:r w:rsidR="00FB5B95" w:rsidRPr="00FB5B95">
        <w:rPr>
          <w:b w:val="0"/>
          <w:sz w:val="16"/>
          <w:szCs w:val="16"/>
          <w:lang w:val="es-CO"/>
        </w:rPr>
        <w:t>su</w:t>
      </w:r>
      <w:r w:rsidR="00FB5B95" w:rsidRPr="00FB5B95">
        <w:rPr>
          <w:b w:val="0"/>
          <w:sz w:val="16"/>
          <w:lang w:val="es-CO"/>
        </w:rPr>
        <w:t xml:space="preserve"> tratamiento </w:t>
      </w:r>
      <w:r w:rsidR="00FB5B95" w:rsidRPr="00FB5B95">
        <w:rPr>
          <w:b w:val="0"/>
          <w:sz w:val="16"/>
          <w:szCs w:val="16"/>
          <w:lang w:val="es-CO"/>
        </w:rPr>
        <w:t>y contemple por lo menos</w:t>
      </w:r>
      <w:r w:rsidR="00FB5B95" w:rsidRPr="00FB5B95">
        <w:rPr>
          <w:b w:val="0"/>
          <w:sz w:val="16"/>
          <w:lang w:val="es-CO"/>
        </w:rPr>
        <w:t xml:space="preserve"> los siguientes aspectos:</w:t>
      </w:r>
    </w:p>
    <w:p w14:paraId="46B95E8F" w14:textId="77777777" w:rsidR="00A246E4" w:rsidRPr="006C319A" w:rsidRDefault="00A246E4" w:rsidP="00DB1073">
      <w:pPr>
        <w:pStyle w:val="ListParagraph1"/>
        <w:ind w:left="0"/>
        <w:rPr>
          <w:b w:val="0"/>
          <w:bCs/>
          <w:sz w:val="16"/>
          <w:szCs w:val="16"/>
        </w:rPr>
      </w:pPr>
    </w:p>
    <w:p w14:paraId="07A7943F" w14:textId="11D7B1ED" w:rsidR="00005141" w:rsidRPr="006C319A" w:rsidRDefault="00620C6B" w:rsidP="00DB1073">
      <w:pPr>
        <w:pStyle w:val="Prrafodelista"/>
        <w:pBdr>
          <w:left w:val="single" w:sz="4" w:space="1" w:color="auto"/>
        </w:pBdr>
        <w:ind w:left="0"/>
        <w:jc w:val="both"/>
        <w:rPr>
          <w:rFonts w:cs="Arial"/>
          <w:bCs/>
          <w:sz w:val="16"/>
          <w:szCs w:val="16"/>
          <w:lang w:val="es-CO"/>
        </w:rPr>
      </w:pPr>
      <w:r>
        <w:rPr>
          <w:rFonts w:cs="Arial"/>
          <w:bCs/>
          <w:sz w:val="16"/>
          <w:szCs w:val="16"/>
          <w:lang w:val="es-CO"/>
        </w:rPr>
        <w:t>1.</w:t>
      </w:r>
      <w:r w:rsidR="00005141" w:rsidRPr="006C319A">
        <w:rPr>
          <w:rFonts w:cs="Arial"/>
          <w:bCs/>
          <w:sz w:val="16"/>
          <w:szCs w:val="16"/>
          <w:lang w:val="es-CO"/>
        </w:rPr>
        <w:t xml:space="preserve">4.1. Los modelos y metodologías adoptados por la </w:t>
      </w:r>
      <w:r w:rsidR="000E6102" w:rsidRPr="006C319A">
        <w:rPr>
          <w:rFonts w:cs="Arial"/>
          <w:bCs/>
          <w:sz w:val="16"/>
          <w:szCs w:val="16"/>
          <w:lang w:val="es-CO"/>
        </w:rPr>
        <w:t>entidad aseguradora</w:t>
      </w:r>
      <w:r w:rsidR="00005141" w:rsidRPr="006C319A">
        <w:rPr>
          <w:rFonts w:cs="Arial"/>
          <w:bCs/>
          <w:sz w:val="16"/>
          <w:szCs w:val="16"/>
          <w:lang w:val="es-CO"/>
        </w:rPr>
        <w:t xml:space="preserve"> para la medición y valoración del riesgo financiero asociado con este tipo de inversiones.</w:t>
      </w:r>
    </w:p>
    <w:p w14:paraId="42EEF9D2" w14:textId="77777777" w:rsidR="00005141" w:rsidRPr="006C319A" w:rsidRDefault="00005141" w:rsidP="00DB1073">
      <w:pPr>
        <w:pStyle w:val="Prrafodelista"/>
        <w:pBdr>
          <w:left w:val="single" w:sz="4" w:space="1" w:color="auto"/>
        </w:pBdr>
        <w:ind w:left="0"/>
        <w:jc w:val="both"/>
        <w:rPr>
          <w:rFonts w:cs="Arial"/>
          <w:bCs/>
          <w:sz w:val="16"/>
          <w:szCs w:val="16"/>
          <w:lang w:val="es-CO"/>
        </w:rPr>
      </w:pPr>
    </w:p>
    <w:p w14:paraId="64F2CB52" w14:textId="459539B2" w:rsidR="00005141" w:rsidRPr="006C319A" w:rsidRDefault="00620C6B" w:rsidP="00DB1073">
      <w:pPr>
        <w:pStyle w:val="Prrafodelista"/>
        <w:pBdr>
          <w:left w:val="single" w:sz="4" w:space="1" w:color="auto"/>
        </w:pBdr>
        <w:ind w:left="0"/>
        <w:jc w:val="both"/>
        <w:rPr>
          <w:rFonts w:cs="Arial"/>
          <w:bCs/>
          <w:sz w:val="16"/>
          <w:szCs w:val="16"/>
          <w:lang w:val="es-CO"/>
        </w:rPr>
      </w:pPr>
      <w:r>
        <w:rPr>
          <w:rFonts w:cs="Arial"/>
          <w:bCs/>
          <w:sz w:val="16"/>
          <w:szCs w:val="16"/>
          <w:lang w:val="es-CO"/>
        </w:rPr>
        <w:t>1</w:t>
      </w:r>
      <w:r w:rsidR="00005141" w:rsidRPr="006C319A">
        <w:rPr>
          <w:rFonts w:cs="Arial"/>
          <w:bCs/>
          <w:sz w:val="16"/>
          <w:szCs w:val="16"/>
          <w:lang w:val="es-CO"/>
        </w:rPr>
        <w:t xml:space="preserve">.4.2. Las políticas y límites prudenciales </w:t>
      </w:r>
      <w:r w:rsidR="00010C15">
        <w:rPr>
          <w:rFonts w:cs="Arial"/>
          <w:bCs/>
          <w:sz w:val="16"/>
          <w:szCs w:val="16"/>
          <w:lang w:val="es-CO"/>
        </w:rPr>
        <w:t xml:space="preserve">internos </w:t>
      </w:r>
      <w:r w:rsidR="00005141" w:rsidRPr="006C319A">
        <w:rPr>
          <w:rFonts w:cs="Arial"/>
          <w:bCs/>
          <w:sz w:val="16"/>
          <w:szCs w:val="16"/>
          <w:lang w:val="es-CO"/>
        </w:rPr>
        <w:t xml:space="preserve">establecidos por la </w:t>
      </w:r>
      <w:r w:rsidR="000E6102" w:rsidRPr="006C319A">
        <w:rPr>
          <w:rFonts w:cs="Arial"/>
          <w:bCs/>
          <w:sz w:val="16"/>
          <w:szCs w:val="16"/>
          <w:lang w:val="es-CO"/>
        </w:rPr>
        <w:t xml:space="preserve">entidad aseguradora </w:t>
      </w:r>
      <w:r w:rsidR="00005141" w:rsidRPr="006C319A">
        <w:rPr>
          <w:rFonts w:cs="Arial"/>
          <w:bCs/>
          <w:sz w:val="16"/>
          <w:szCs w:val="16"/>
          <w:lang w:val="es-CO"/>
        </w:rPr>
        <w:t>para la exposición al riesgo financiero asociado con este tipo de inversiones.</w:t>
      </w:r>
    </w:p>
    <w:p w14:paraId="516F076B" w14:textId="77777777" w:rsidR="00005141" w:rsidRPr="006C319A" w:rsidRDefault="00005141" w:rsidP="00DB1073">
      <w:pPr>
        <w:pStyle w:val="Prrafodelista"/>
        <w:pBdr>
          <w:left w:val="single" w:sz="4" w:space="1" w:color="auto"/>
        </w:pBdr>
        <w:ind w:left="0"/>
        <w:jc w:val="both"/>
        <w:rPr>
          <w:rFonts w:cs="Arial"/>
          <w:bCs/>
          <w:sz w:val="16"/>
          <w:szCs w:val="16"/>
          <w:lang w:val="es-CO"/>
        </w:rPr>
      </w:pPr>
    </w:p>
    <w:p w14:paraId="2B7C6CAA" w14:textId="266FEB28" w:rsidR="00005141" w:rsidRPr="006C319A" w:rsidRDefault="00620C6B" w:rsidP="00DB1073">
      <w:pPr>
        <w:pStyle w:val="Prrafodelista"/>
        <w:pBdr>
          <w:left w:val="single" w:sz="4" w:space="1" w:color="auto"/>
        </w:pBdr>
        <w:ind w:left="0"/>
        <w:jc w:val="both"/>
        <w:rPr>
          <w:bCs/>
          <w:sz w:val="16"/>
          <w:szCs w:val="16"/>
        </w:rPr>
      </w:pPr>
      <w:r>
        <w:rPr>
          <w:bCs/>
          <w:sz w:val="16"/>
          <w:szCs w:val="16"/>
          <w:lang w:val="es-CO"/>
        </w:rPr>
        <w:t>1</w:t>
      </w:r>
      <w:r w:rsidR="00005141" w:rsidRPr="006C319A">
        <w:rPr>
          <w:rFonts w:cs="Arial"/>
          <w:bCs/>
          <w:sz w:val="16"/>
          <w:szCs w:val="16"/>
          <w:lang w:val="es-CO"/>
        </w:rPr>
        <w:t>.</w:t>
      </w:r>
      <w:r w:rsidR="00005141" w:rsidRPr="006C319A">
        <w:rPr>
          <w:bCs/>
          <w:sz w:val="16"/>
          <w:szCs w:val="16"/>
          <w:lang w:val="es-CO"/>
        </w:rPr>
        <w:t>4.</w:t>
      </w:r>
      <w:r w:rsidR="00005141" w:rsidRPr="006C319A">
        <w:rPr>
          <w:rFonts w:cs="Arial"/>
          <w:bCs/>
          <w:sz w:val="16"/>
          <w:szCs w:val="16"/>
          <w:lang w:val="es-CO"/>
        </w:rPr>
        <w:t xml:space="preserve">3. </w:t>
      </w:r>
      <w:r w:rsidR="00005141" w:rsidRPr="006C319A">
        <w:rPr>
          <w:bCs/>
          <w:sz w:val="16"/>
          <w:szCs w:val="16"/>
        </w:rPr>
        <w:t>Los procesos adoptados para la medición, monitoreo y reporte de los riesgos financiero y opera</w:t>
      </w:r>
      <w:r w:rsidR="00F113EA">
        <w:rPr>
          <w:bCs/>
          <w:sz w:val="16"/>
          <w:szCs w:val="16"/>
        </w:rPr>
        <w:t>cional</w:t>
      </w:r>
      <w:r w:rsidR="00010C15">
        <w:rPr>
          <w:bCs/>
          <w:sz w:val="16"/>
          <w:szCs w:val="16"/>
        </w:rPr>
        <w:t>,</w:t>
      </w:r>
      <w:r w:rsidR="00005141" w:rsidRPr="006C319A">
        <w:rPr>
          <w:bCs/>
          <w:sz w:val="16"/>
          <w:szCs w:val="16"/>
        </w:rPr>
        <w:t xml:space="preserve"> asociados con este tipo de inversiones. </w:t>
      </w:r>
    </w:p>
    <w:p w14:paraId="5F617299" w14:textId="77777777" w:rsidR="00005141" w:rsidRPr="006C319A" w:rsidRDefault="00005141" w:rsidP="00DB1073">
      <w:pPr>
        <w:pStyle w:val="Prrafodelista"/>
        <w:pBdr>
          <w:left w:val="single" w:sz="4" w:space="1" w:color="auto"/>
        </w:pBdr>
        <w:ind w:left="0"/>
        <w:jc w:val="both"/>
        <w:rPr>
          <w:bCs/>
          <w:sz w:val="16"/>
          <w:szCs w:val="16"/>
        </w:rPr>
      </w:pPr>
    </w:p>
    <w:p w14:paraId="50891CDB" w14:textId="68A6A7AA" w:rsidR="00005141" w:rsidRDefault="00620C6B" w:rsidP="00DB1073">
      <w:pPr>
        <w:pStyle w:val="Prrafodelista"/>
        <w:pBdr>
          <w:left w:val="single" w:sz="4" w:space="1" w:color="auto"/>
        </w:pBdr>
        <w:ind w:left="0"/>
        <w:jc w:val="both"/>
        <w:rPr>
          <w:rFonts w:cs="Arial"/>
          <w:bCs/>
          <w:sz w:val="16"/>
          <w:szCs w:val="16"/>
          <w:lang w:val="es-CO"/>
        </w:rPr>
      </w:pPr>
      <w:r>
        <w:rPr>
          <w:bCs/>
          <w:sz w:val="16"/>
          <w:szCs w:val="16"/>
          <w:lang w:val="es-CO"/>
        </w:rPr>
        <w:t>1</w:t>
      </w:r>
      <w:r w:rsidR="00005141" w:rsidRPr="006C319A">
        <w:rPr>
          <w:rFonts w:cs="Arial"/>
          <w:bCs/>
          <w:sz w:val="16"/>
          <w:szCs w:val="16"/>
          <w:lang w:val="es-CO"/>
        </w:rPr>
        <w:t>.4.</w:t>
      </w:r>
      <w:r w:rsidR="00005141" w:rsidRPr="006C319A">
        <w:rPr>
          <w:bCs/>
          <w:sz w:val="16"/>
          <w:szCs w:val="16"/>
          <w:lang w:val="es-CO"/>
        </w:rPr>
        <w:t xml:space="preserve">4. </w:t>
      </w:r>
      <w:r w:rsidR="00005141" w:rsidRPr="006C319A">
        <w:rPr>
          <w:rFonts w:cs="Arial"/>
          <w:bCs/>
          <w:sz w:val="16"/>
          <w:szCs w:val="16"/>
          <w:lang w:val="es-CO"/>
        </w:rPr>
        <w:t>Las políticas para la toma de decisiones de inversión en activos alternativos, incluyendo:</w:t>
      </w:r>
    </w:p>
    <w:p w14:paraId="30BC6E62" w14:textId="77777777" w:rsidR="00557195" w:rsidRPr="006C319A" w:rsidRDefault="00557195" w:rsidP="00DB1073">
      <w:pPr>
        <w:pStyle w:val="Prrafodelista"/>
        <w:pBdr>
          <w:left w:val="single" w:sz="4" w:space="1" w:color="auto"/>
        </w:pBdr>
        <w:ind w:left="0"/>
        <w:jc w:val="both"/>
        <w:rPr>
          <w:rFonts w:cs="Arial"/>
          <w:bCs/>
          <w:sz w:val="16"/>
          <w:szCs w:val="16"/>
          <w:lang w:val="es-CO"/>
        </w:rPr>
      </w:pPr>
    </w:p>
    <w:p w14:paraId="3724E26A" w14:textId="75D0C1E3" w:rsidR="00005141" w:rsidRPr="006C319A" w:rsidRDefault="00620C6B" w:rsidP="00DB1073">
      <w:pPr>
        <w:pStyle w:val="Prrafodelista"/>
        <w:pBdr>
          <w:left w:val="single" w:sz="4" w:space="1" w:color="auto"/>
        </w:pBdr>
        <w:ind w:left="0"/>
        <w:jc w:val="both"/>
        <w:rPr>
          <w:rFonts w:cs="Arial"/>
          <w:bCs/>
          <w:sz w:val="16"/>
          <w:szCs w:val="16"/>
          <w:lang w:val="es-CO"/>
        </w:rPr>
      </w:pPr>
      <w:r>
        <w:rPr>
          <w:rFonts w:cs="Arial"/>
          <w:bCs/>
          <w:sz w:val="16"/>
          <w:szCs w:val="16"/>
          <w:lang w:val="es-CO"/>
        </w:rPr>
        <w:t>1</w:t>
      </w:r>
      <w:r w:rsidRPr="006C319A">
        <w:rPr>
          <w:rFonts w:cs="Arial"/>
          <w:bCs/>
          <w:sz w:val="16"/>
          <w:szCs w:val="16"/>
          <w:lang w:val="es-CO"/>
        </w:rPr>
        <w:t>.4.</w:t>
      </w:r>
      <w:r>
        <w:rPr>
          <w:bCs/>
          <w:sz w:val="16"/>
          <w:szCs w:val="16"/>
          <w:lang w:val="es-CO"/>
        </w:rPr>
        <w:t>4.1</w:t>
      </w:r>
      <w:r w:rsidR="00005141" w:rsidRPr="006C319A">
        <w:rPr>
          <w:rFonts w:cs="Arial"/>
          <w:bCs/>
          <w:sz w:val="16"/>
          <w:szCs w:val="16"/>
          <w:lang w:val="es-CO"/>
        </w:rPr>
        <w:t>. La caracterización de los perfiles y cargos del personal que podrán realizar las inversiones en estos activos.</w:t>
      </w:r>
    </w:p>
    <w:p w14:paraId="1D0EC2B8" w14:textId="517D1283" w:rsidR="00005141" w:rsidRPr="006C319A" w:rsidRDefault="00620C6B" w:rsidP="00DB1073">
      <w:pPr>
        <w:pStyle w:val="Prrafodelista"/>
        <w:pBdr>
          <w:left w:val="single" w:sz="4" w:space="1" w:color="auto"/>
        </w:pBdr>
        <w:ind w:left="0"/>
        <w:jc w:val="both"/>
        <w:rPr>
          <w:rFonts w:cs="Arial"/>
          <w:bCs/>
          <w:sz w:val="16"/>
          <w:szCs w:val="16"/>
          <w:lang w:val="es-CO"/>
        </w:rPr>
      </w:pPr>
      <w:r>
        <w:rPr>
          <w:rFonts w:cs="Arial"/>
          <w:bCs/>
          <w:sz w:val="16"/>
          <w:szCs w:val="16"/>
          <w:lang w:val="es-CO"/>
        </w:rPr>
        <w:t>1</w:t>
      </w:r>
      <w:r w:rsidRPr="006C319A">
        <w:rPr>
          <w:rFonts w:cs="Arial"/>
          <w:bCs/>
          <w:sz w:val="16"/>
          <w:szCs w:val="16"/>
          <w:lang w:val="es-CO"/>
        </w:rPr>
        <w:t>.4.</w:t>
      </w:r>
      <w:r>
        <w:rPr>
          <w:bCs/>
          <w:sz w:val="16"/>
          <w:szCs w:val="16"/>
          <w:lang w:val="es-CO"/>
        </w:rPr>
        <w:t>4.</w:t>
      </w:r>
      <w:r w:rsidR="003F3F95" w:rsidRPr="006C319A">
        <w:rPr>
          <w:rFonts w:cs="Arial"/>
          <w:sz w:val="16"/>
          <w:szCs w:val="16"/>
          <w:lang w:val="es-CO"/>
        </w:rPr>
        <w:t>2</w:t>
      </w:r>
      <w:r w:rsidR="00005141" w:rsidRPr="006C319A">
        <w:rPr>
          <w:rFonts w:cs="Arial"/>
          <w:bCs/>
          <w:sz w:val="16"/>
          <w:szCs w:val="16"/>
          <w:lang w:val="es-CO"/>
        </w:rPr>
        <w:t xml:space="preserve">. Los </w:t>
      </w:r>
      <w:r w:rsidR="00005141" w:rsidRPr="006C319A">
        <w:rPr>
          <w:bCs/>
          <w:sz w:val="16"/>
          <w:szCs w:val="16"/>
        </w:rPr>
        <w:t>criterios de selección de las inversiones alternativas</w:t>
      </w:r>
      <w:r w:rsidR="005126F6" w:rsidRPr="006C319A">
        <w:rPr>
          <w:bCs/>
          <w:sz w:val="16"/>
          <w:szCs w:val="16"/>
        </w:rPr>
        <w:t>.</w:t>
      </w:r>
      <w:r w:rsidR="00005141" w:rsidRPr="006C319A">
        <w:rPr>
          <w:bCs/>
          <w:sz w:val="16"/>
          <w:szCs w:val="16"/>
        </w:rPr>
        <w:t xml:space="preserve"> </w:t>
      </w:r>
    </w:p>
    <w:p w14:paraId="5A50C7E3" w14:textId="711201E5" w:rsidR="00005141" w:rsidRPr="006C319A" w:rsidRDefault="00620C6B" w:rsidP="00DB1073">
      <w:pPr>
        <w:pStyle w:val="Prrafodelista"/>
        <w:pBdr>
          <w:left w:val="single" w:sz="4" w:space="1" w:color="auto"/>
        </w:pBdr>
        <w:ind w:left="0"/>
        <w:jc w:val="both"/>
        <w:rPr>
          <w:rFonts w:cs="Arial"/>
          <w:bCs/>
          <w:sz w:val="16"/>
          <w:szCs w:val="16"/>
          <w:lang w:val="es-CO"/>
        </w:rPr>
      </w:pPr>
      <w:r>
        <w:rPr>
          <w:rFonts w:cs="Arial"/>
          <w:bCs/>
          <w:sz w:val="16"/>
          <w:szCs w:val="16"/>
          <w:lang w:val="es-CO"/>
        </w:rPr>
        <w:t>1</w:t>
      </w:r>
      <w:r w:rsidRPr="006C319A">
        <w:rPr>
          <w:rFonts w:cs="Arial"/>
          <w:bCs/>
          <w:sz w:val="16"/>
          <w:szCs w:val="16"/>
          <w:lang w:val="es-CO"/>
        </w:rPr>
        <w:t>.4.</w:t>
      </w:r>
      <w:r>
        <w:rPr>
          <w:bCs/>
          <w:sz w:val="16"/>
          <w:szCs w:val="16"/>
          <w:lang w:val="es-CO"/>
        </w:rPr>
        <w:t>4.</w:t>
      </w:r>
      <w:r w:rsidR="003F3F95">
        <w:rPr>
          <w:bCs/>
          <w:sz w:val="16"/>
          <w:szCs w:val="16"/>
          <w:lang w:val="es-CO"/>
        </w:rPr>
        <w:t>3</w:t>
      </w:r>
      <w:r w:rsidR="00005141" w:rsidRPr="006C319A">
        <w:rPr>
          <w:bCs/>
          <w:sz w:val="16"/>
          <w:szCs w:val="16"/>
        </w:rPr>
        <w:t xml:space="preserve">. </w:t>
      </w:r>
      <w:r w:rsidR="00005141" w:rsidRPr="006C319A">
        <w:rPr>
          <w:rFonts w:cs="Arial"/>
          <w:bCs/>
          <w:sz w:val="16"/>
          <w:szCs w:val="16"/>
          <w:lang w:val="es-CO"/>
        </w:rPr>
        <w:t>Los análisis de que serán objeto el gestor profesional y la sociedad administradora de los vehículos de inversión.</w:t>
      </w:r>
    </w:p>
    <w:p w14:paraId="68112E66" w14:textId="5850AE53" w:rsidR="00005141" w:rsidRPr="006C319A" w:rsidRDefault="00620C6B" w:rsidP="00DB1073">
      <w:pPr>
        <w:pStyle w:val="Prrafodelista"/>
        <w:pBdr>
          <w:left w:val="single" w:sz="4" w:space="1" w:color="auto"/>
        </w:pBdr>
        <w:ind w:left="0"/>
        <w:jc w:val="both"/>
        <w:rPr>
          <w:rFonts w:cs="Arial"/>
          <w:bCs/>
          <w:sz w:val="16"/>
          <w:szCs w:val="16"/>
          <w:lang w:val="es-CO"/>
        </w:rPr>
      </w:pPr>
      <w:r>
        <w:rPr>
          <w:rFonts w:cs="Arial"/>
          <w:bCs/>
          <w:sz w:val="16"/>
          <w:szCs w:val="16"/>
          <w:lang w:val="es-CO"/>
        </w:rPr>
        <w:t>1</w:t>
      </w:r>
      <w:r w:rsidRPr="006C319A">
        <w:rPr>
          <w:rFonts w:cs="Arial"/>
          <w:bCs/>
          <w:sz w:val="16"/>
          <w:szCs w:val="16"/>
          <w:lang w:val="es-CO"/>
        </w:rPr>
        <w:t>.4.</w:t>
      </w:r>
      <w:r>
        <w:rPr>
          <w:bCs/>
          <w:sz w:val="16"/>
          <w:szCs w:val="16"/>
          <w:lang w:val="es-CO"/>
        </w:rPr>
        <w:t>4.</w:t>
      </w:r>
      <w:r w:rsidR="00005141" w:rsidRPr="006C319A">
        <w:rPr>
          <w:rFonts w:cs="Arial"/>
          <w:bCs/>
          <w:sz w:val="16"/>
          <w:szCs w:val="16"/>
          <w:lang w:val="es-CO"/>
        </w:rPr>
        <w:t xml:space="preserve">4. Las políticas contables y de valoración </w:t>
      </w:r>
      <w:r w:rsidR="00005141" w:rsidRPr="006C319A">
        <w:rPr>
          <w:bCs/>
          <w:sz w:val="16"/>
          <w:szCs w:val="16"/>
        </w:rPr>
        <w:t>de los vehículos y su ajuste a la naturaleza y realidad económica del activo</w:t>
      </w:r>
      <w:r w:rsidR="00005141" w:rsidRPr="006C319A">
        <w:rPr>
          <w:rFonts w:cs="Arial"/>
          <w:bCs/>
          <w:sz w:val="16"/>
          <w:szCs w:val="16"/>
          <w:lang w:val="es-CO"/>
        </w:rPr>
        <w:t>.</w:t>
      </w:r>
    </w:p>
    <w:p w14:paraId="762DDE36" w14:textId="77777777" w:rsidR="00005141" w:rsidRPr="006C319A" w:rsidRDefault="00005141" w:rsidP="00DB1073">
      <w:pPr>
        <w:pStyle w:val="Prrafodelista"/>
        <w:pBdr>
          <w:left w:val="single" w:sz="4" w:space="1" w:color="auto"/>
        </w:pBdr>
        <w:ind w:left="0"/>
        <w:jc w:val="both"/>
        <w:rPr>
          <w:rFonts w:cs="Arial"/>
          <w:bCs/>
          <w:sz w:val="16"/>
          <w:szCs w:val="16"/>
          <w:lang w:val="es-CO"/>
        </w:rPr>
      </w:pPr>
    </w:p>
    <w:p w14:paraId="58B2B1AE" w14:textId="730170EC" w:rsidR="00005141" w:rsidRPr="006C319A" w:rsidRDefault="00620C6B" w:rsidP="00DB1073">
      <w:pPr>
        <w:pStyle w:val="Prrafodelista"/>
        <w:pBdr>
          <w:left w:val="single" w:sz="4" w:space="1" w:color="auto"/>
        </w:pBdr>
        <w:ind w:left="0"/>
        <w:jc w:val="both"/>
        <w:rPr>
          <w:bCs/>
          <w:sz w:val="16"/>
          <w:szCs w:val="16"/>
        </w:rPr>
      </w:pPr>
      <w:r>
        <w:rPr>
          <w:bCs/>
          <w:sz w:val="16"/>
          <w:szCs w:val="16"/>
        </w:rPr>
        <w:t>1.4.5</w:t>
      </w:r>
      <w:r w:rsidR="00005141" w:rsidRPr="006C319A">
        <w:rPr>
          <w:bCs/>
          <w:sz w:val="16"/>
          <w:szCs w:val="16"/>
        </w:rPr>
        <w:t>. Las políticas, procedimientos y áreas responsables de la realización de la debida diligencia de las condiciones de la inversión en activos alternativos, incluyendo las siguientes:</w:t>
      </w:r>
    </w:p>
    <w:p w14:paraId="5A5747FC" w14:textId="77777777" w:rsidR="00005141" w:rsidRPr="006C319A" w:rsidRDefault="00005141" w:rsidP="00DB1073">
      <w:pPr>
        <w:pStyle w:val="Prrafodelista"/>
        <w:pBdr>
          <w:left w:val="single" w:sz="4" w:space="1" w:color="auto"/>
        </w:pBdr>
        <w:ind w:left="0"/>
        <w:jc w:val="both"/>
        <w:rPr>
          <w:bCs/>
          <w:sz w:val="16"/>
          <w:szCs w:val="16"/>
        </w:rPr>
      </w:pPr>
    </w:p>
    <w:p w14:paraId="5A08A9BE" w14:textId="48ECF516" w:rsidR="00005141" w:rsidRPr="006C319A" w:rsidRDefault="00620C6B" w:rsidP="00DB1073">
      <w:pPr>
        <w:pStyle w:val="Prrafodelista"/>
        <w:pBdr>
          <w:left w:val="single" w:sz="4" w:space="1" w:color="auto"/>
        </w:pBdr>
        <w:ind w:left="0"/>
        <w:jc w:val="both"/>
        <w:rPr>
          <w:bCs/>
          <w:sz w:val="16"/>
          <w:szCs w:val="16"/>
        </w:rPr>
      </w:pPr>
      <w:r>
        <w:rPr>
          <w:bCs/>
          <w:sz w:val="16"/>
          <w:szCs w:val="16"/>
        </w:rPr>
        <w:t>1.4.5</w:t>
      </w:r>
      <w:r w:rsidR="00005141" w:rsidRPr="006C319A">
        <w:rPr>
          <w:bCs/>
          <w:sz w:val="16"/>
          <w:szCs w:val="16"/>
        </w:rPr>
        <w:t>.1. El ajuste de los reglamentos</w:t>
      </w:r>
      <w:r w:rsidR="0077330F">
        <w:rPr>
          <w:bCs/>
          <w:sz w:val="16"/>
          <w:szCs w:val="16"/>
        </w:rPr>
        <w:t>,</w:t>
      </w:r>
      <w:r w:rsidR="00005141" w:rsidRPr="006C319A">
        <w:rPr>
          <w:bCs/>
          <w:sz w:val="16"/>
          <w:szCs w:val="16"/>
        </w:rPr>
        <w:t xml:space="preserve"> políticas </w:t>
      </w:r>
      <w:r w:rsidR="0077330F">
        <w:rPr>
          <w:bCs/>
          <w:sz w:val="16"/>
          <w:szCs w:val="16"/>
        </w:rPr>
        <w:t>y/</w:t>
      </w:r>
      <w:r w:rsidR="00005141" w:rsidRPr="006C319A">
        <w:rPr>
          <w:bCs/>
          <w:sz w:val="16"/>
          <w:szCs w:val="16"/>
        </w:rPr>
        <w:t xml:space="preserve">o mandatos de inversión al cumplimiento de las condiciones tanto legales como internas para la inversión en activos alternativos. </w:t>
      </w:r>
    </w:p>
    <w:p w14:paraId="1964CB92" w14:textId="2EFF98A0" w:rsidR="00005141" w:rsidRPr="006C319A" w:rsidRDefault="00620C6B" w:rsidP="00DB1073">
      <w:pPr>
        <w:pStyle w:val="Prrafodelista"/>
        <w:pBdr>
          <w:left w:val="single" w:sz="4" w:space="1" w:color="auto"/>
        </w:pBdr>
        <w:ind w:left="0"/>
        <w:jc w:val="both"/>
        <w:rPr>
          <w:bCs/>
          <w:sz w:val="16"/>
          <w:szCs w:val="16"/>
        </w:rPr>
      </w:pPr>
      <w:r>
        <w:rPr>
          <w:bCs/>
          <w:sz w:val="16"/>
          <w:szCs w:val="16"/>
        </w:rPr>
        <w:t>1.4.5</w:t>
      </w:r>
      <w:r w:rsidR="00005141" w:rsidRPr="006C319A">
        <w:rPr>
          <w:bCs/>
          <w:sz w:val="16"/>
          <w:szCs w:val="16"/>
        </w:rPr>
        <w:t>.2. La idoneidad y experiencia del gestor profesional</w:t>
      </w:r>
      <w:r w:rsidR="00F11E27">
        <w:rPr>
          <w:bCs/>
          <w:sz w:val="16"/>
          <w:szCs w:val="16"/>
        </w:rPr>
        <w:t>, incluyendo</w:t>
      </w:r>
      <w:r w:rsidR="00005141" w:rsidRPr="006C319A">
        <w:rPr>
          <w:bCs/>
          <w:sz w:val="16"/>
          <w:szCs w:val="16"/>
        </w:rPr>
        <w:t xml:space="preserve"> el análisis de su estructura de gobierno corporativo, políticas de conflictos de interés y los riesgos de sustitución de personal clave.</w:t>
      </w:r>
    </w:p>
    <w:p w14:paraId="6AE0DBA3" w14:textId="05E2B46D" w:rsidR="00005141" w:rsidRPr="006C319A" w:rsidRDefault="00620C6B" w:rsidP="00DB1073">
      <w:pPr>
        <w:pStyle w:val="Prrafodelista"/>
        <w:pBdr>
          <w:left w:val="single" w:sz="4" w:space="1" w:color="auto"/>
        </w:pBdr>
        <w:ind w:left="0"/>
        <w:jc w:val="both"/>
        <w:rPr>
          <w:bCs/>
          <w:sz w:val="16"/>
          <w:szCs w:val="16"/>
        </w:rPr>
      </w:pPr>
      <w:r>
        <w:rPr>
          <w:bCs/>
          <w:sz w:val="16"/>
          <w:szCs w:val="16"/>
        </w:rPr>
        <w:t>1.4.5</w:t>
      </w:r>
      <w:r w:rsidR="00005141" w:rsidRPr="006C319A">
        <w:rPr>
          <w:bCs/>
          <w:sz w:val="16"/>
          <w:szCs w:val="16"/>
        </w:rPr>
        <w:t>.3. La idoneidad y experiencia de la sociedad administradora</w:t>
      </w:r>
      <w:r w:rsidR="00F11E27">
        <w:rPr>
          <w:bCs/>
          <w:sz w:val="16"/>
          <w:szCs w:val="16"/>
        </w:rPr>
        <w:t>, incluyendo</w:t>
      </w:r>
      <w:r w:rsidR="00F11E27" w:rsidRPr="006C319A">
        <w:rPr>
          <w:bCs/>
          <w:sz w:val="16"/>
          <w:szCs w:val="16"/>
        </w:rPr>
        <w:t xml:space="preserve"> </w:t>
      </w:r>
      <w:r w:rsidR="00005141" w:rsidRPr="006C319A">
        <w:rPr>
          <w:bCs/>
          <w:sz w:val="16"/>
          <w:szCs w:val="16"/>
        </w:rPr>
        <w:t>el análisis de su estructura de gobierno corporativo, políticas de conflictos de interés.</w:t>
      </w:r>
    </w:p>
    <w:p w14:paraId="52E5973E" w14:textId="6CB028A0" w:rsidR="00005141" w:rsidRPr="006C319A" w:rsidRDefault="00620C6B" w:rsidP="00DB1073">
      <w:pPr>
        <w:pStyle w:val="Prrafodelista"/>
        <w:pBdr>
          <w:left w:val="single" w:sz="4" w:space="1" w:color="auto"/>
        </w:pBdr>
        <w:ind w:left="0"/>
        <w:jc w:val="both"/>
        <w:rPr>
          <w:bCs/>
          <w:sz w:val="16"/>
          <w:szCs w:val="16"/>
        </w:rPr>
      </w:pPr>
      <w:r>
        <w:rPr>
          <w:bCs/>
          <w:sz w:val="16"/>
          <w:szCs w:val="16"/>
        </w:rPr>
        <w:t>1.4.5</w:t>
      </w:r>
      <w:r w:rsidR="00005141" w:rsidRPr="006C319A">
        <w:rPr>
          <w:bCs/>
          <w:sz w:val="16"/>
          <w:szCs w:val="16"/>
        </w:rPr>
        <w:t>.4. La idoneidad técnica de las políticas contables y de valoración de los vehículos</w:t>
      </w:r>
      <w:r w:rsidR="00B5760C">
        <w:rPr>
          <w:bCs/>
          <w:sz w:val="16"/>
          <w:szCs w:val="16"/>
        </w:rPr>
        <w:t>,</w:t>
      </w:r>
      <w:r w:rsidR="00005141" w:rsidRPr="006C319A">
        <w:rPr>
          <w:bCs/>
          <w:sz w:val="16"/>
          <w:szCs w:val="16"/>
        </w:rPr>
        <w:t xml:space="preserve"> y su ajuste a la naturaleza y realidad económica del activo.</w:t>
      </w:r>
    </w:p>
    <w:p w14:paraId="7E755F56" w14:textId="151840DB" w:rsidR="00005141" w:rsidRPr="006C319A" w:rsidRDefault="00620C6B" w:rsidP="00DB1073">
      <w:pPr>
        <w:pStyle w:val="Prrafodelista"/>
        <w:pBdr>
          <w:left w:val="single" w:sz="4" w:space="1" w:color="auto"/>
        </w:pBdr>
        <w:ind w:left="0"/>
        <w:jc w:val="both"/>
        <w:rPr>
          <w:bCs/>
          <w:sz w:val="16"/>
          <w:szCs w:val="16"/>
        </w:rPr>
      </w:pPr>
      <w:r>
        <w:rPr>
          <w:bCs/>
          <w:sz w:val="16"/>
          <w:szCs w:val="16"/>
        </w:rPr>
        <w:t>1.4.5</w:t>
      </w:r>
      <w:r w:rsidR="00005141" w:rsidRPr="006C319A">
        <w:rPr>
          <w:bCs/>
          <w:sz w:val="16"/>
          <w:szCs w:val="16"/>
        </w:rPr>
        <w:t xml:space="preserve">.5. La estructura de comisiones y políticas de remuneración del vehículo. </w:t>
      </w:r>
    </w:p>
    <w:p w14:paraId="1E6ACA9D" w14:textId="38305225" w:rsidR="00005141" w:rsidRPr="006C319A" w:rsidRDefault="00620C6B" w:rsidP="00DB1073">
      <w:pPr>
        <w:pStyle w:val="Prrafodelista"/>
        <w:pBdr>
          <w:left w:val="single" w:sz="4" w:space="1" w:color="auto"/>
        </w:pBdr>
        <w:ind w:left="0"/>
        <w:jc w:val="both"/>
        <w:rPr>
          <w:bCs/>
          <w:sz w:val="16"/>
          <w:szCs w:val="16"/>
        </w:rPr>
      </w:pPr>
      <w:r>
        <w:rPr>
          <w:bCs/>
          <w:sz w:val="16"/>
          <w:szCs w:val="16"/>
        </w:rPr>
        <w:t>1.4.5</w:t>
      </w:r>
      <w:r w:rsidR="00005141" w:rsidRPr="006C319A">
        <w:rPr>
          <w:bCs/>
          <w:sz w:val="16"/>
          <w:szCs w:val="16"/>
        </w:rPr>
        <w:t>.6. Los estándares de revelación de información del vehículo, el gestor y la sociedad administradora, incluyendo los estándares de aseguramiento de la información aplicables.</w:t>
      </w:r>
    </w:p>
    <w:p w14:paraId="3C161FD8" w14:textId="77777777" w:rsidR="00A246E4" w:rsidRDefault="00A246E4" w:rsidP="00DB1073">
      <w:pPr>
        <w:pBdr>
          <w:left w:val="single" w:sz="4" w:space="1" w:color="auto"/>
        </w:pBdr>
        <w:autoSpaceDE w:val="0"/>
        <w:autoSpaceDN w:val="0"/>
        <w:adjustRightInd w:val="0"/>
        <w:rPr>
          <w:rFonts w:cs="Arial"/>
          <w:sz w:val="16"/>
          <w:szCs w:val="16"/>
        </w:rPr>
      </w:pPr>
    </w:p>
    <w:p w14:paraId="1EFE1D68" w14:textId="48A631E8" w:rsidR="003F3F95" w:rsidRPr="006C319A" w:rsidRDefault="000C531B" w:rsidP="003F3F95">
      <w:pPr>
        <w:pStyle w:val="Prrafodelista"/>
        <w:pBdr>
          <w:left w:val="single" w:sz="4" w:space="1" w:color="auto"/>
        </w:pBdr>
        <w:ind w:left="0"/>
        <w:jc w:val="both"/>
        <w:rPr>
          <w:rFonts w:cs="Arial"/>
          <w:bCs/>
          <w:sz w:val="16"/>
          <w:szCs w:val="16"/>
          <w:lang w:val="es-CO"/>
        </w:rPr>
      </w:pPr>
      <w:r w:rsidRPr="4C06314D">
        <w:rPr>
          <w:rFonts w:cs="Arial"/>
          <w:sz w:val="16"/>
          <w:szCs w:val="16"/>
        </w:rPr>
        <w:t>1.</w:t>
      </w:r>
      <w:r w:rsidR="00324239">
        <w:rPr>
          <w:rFonts w:cs="Arial"/>
          <w:sz w:val="16"/>
          <w:szCs w:val="16"/>
        </w:rPr>
        <w:t>5</w:t>
      </w:r>
      <w:r w:rsidRPr="4C06314D">
        <w:rPr>
          <w:rFonts w:cs="Arial"/>
          <w:sz w:val="16"/>
          <w:szCs w:val="16"/>
        </w:rPr>
        <w:t xml:space="preserve">. </w:t>
      </w:r>
      <w:r w:rsidR="003F3F95" w:rsidRPr="006C319A">
        <w:rPr>
          <w:bCs/>
          <w:sz w:val="16"/>
          <w:szCs w:val="16"/>
        </w:rPr>
        <w:t xml:space="preserve">Las políticas y medidas de control interno adoptadas por la entidad aseguradora para corregir cualquier desviación que ocurra con respecto a la máxima exposición a los riesgos financiero y operacional establecida en la </w:t>
      </w:r>
      <w:r w:rsidR="003F3F95">
        <w:rPr>
          <w:bCs/>
          <w:sz w:val="16"/>
          <w:szCs w:val="16"/>
        </w:rPr>
        <w:t>p</w:t>
      </w:r>
      <w:r w:rsidR="003F3F95" w:rsidRPr="006C319A">
        <w:rPr>
          <w:bCs/>
          <w:sz w:val="16"/>
          <w:szCs w:val="16"/>
        </w:rPr>
        <w:t xml:space="preserve">olítica de </w:t>
      </w:r>
      <w:r w:rsidR="003F3F95">
        <w:rPr>
          <w:bCs/>
          <w:sz w:val="16"/>
          <w:szCs w:val="16"/>
        </w:rPr>
        <w:t>i</w:t>
      </w:r>
      <w:r w:rsidR="003F3F95" w:rsidRPr="006C319A">
        <w:rPr>
          <w:bCs/>
          <w:sz w:val="16"/>
          <w:szCs w:val="16"/>
        </w:rPr>
        <w:t>nversión.</w:t>
      </w:r>
      <w:r w:rsidR="003F3F95">
        <w:rPr>
          <w:bCs/>
          <w:sz w:val="16"/>
          <w:szCs w:val="16"/>
        </w:rPr>
        <w:t xml:space="preserve"> </w:t>
      </w:r>
      <w:r w:rsidR="003F3F95" w:rsidRPr="006C319A">
        <w:rPr>
          <w:bCs/>
          <w:sz w:val="16"/>
          <w:szCs w:val="16"/>
        </w:rPr>
        <w:t xml:space="preserve">Estas políticas deben detallar el procedimiento, requisitos, instancias responsables, y los </w:t>
      </w:r>
      <w:r w:rsidR="003F3F95">
        <w:rPr>
          <w:bCs/>
          <w:sz w:val="16"/>
          <w:szCs w:val="16"/>
        </w:rPr>
        <w:t>planes</w:t>
      </w:r>
      <w:r w:rsidR="003F3F95" w:rsidRPr="006C319A">
        <w:rPr>
          <w:bCs/>
          <w:sz w:val="16"/>
          <w:szCs w:val="16"/>
        </w:rPr>
        <w:t xml:space="preserve"> de desmonte o la modificación de los limites internos en los casos en que ocurran desviaciones.</w:t>
      </w:r>
    </w:p>
    <w:p w14:paraId="62431CDC" w14:textId="706D91AA" w:rsidR="000C531B" w:rsidRDefault="000C531B" w:rsidP="00DB1073">
      <w:pPr>
        <w:pBdr>
          <w:left w:val="single" w:sz="4" w:space="1" w:color="auto"/>
        </w:pBdr>
        <w:tabs>
          <w:tab w:val="num" w:pos="720"/>
        </w:tabs>
        <w:autoSpaceDE w:val="0"/>
        <w:autoSpaceDN w:val="0"/>
        <w:adjustRightInd w:val="0"/>
        <w:ind w:left="720" w:hanging="720"/>
        <w:rPr>
          <w:rFonts w:cs="Arial"/>
          <w:sz w:val="14"/>
          <w:szCs w:val="16"/>
        </w:rPr>
      </w:pPr>
    </w:p>
    <w:p w14:paraId="52FE4743" w14:textId="09EF2F70" w:rsidR="00EB0C8C" w:rsidRPr="00D72EED" w:rsidRDefault="00EB0C8C" w:rsidP="00222BFB">
      <w:pPr>
        <w:pStyle w:val="ListParagraph1"/>
        <w:pBdr>
          <w:left w:val="single" w:sz="4" w:space="4" w:color="auto"/>
        </w:pBdr>
        <w:ind w:left="57"/>
        <w:rPr>
          <w:b w:val="0"/>
          <w:bCs/>
          <w:sz w:val="16"/>
          <w:szCs w:val="16"/>
        </w:rPr>
      </w:pPr>
      <w:r w:rsidRPr="00EB0C8C">
        <w:rPr>
          <w:b w:val="0"/>
          <w:sz w:val="16"/>
          <w:szCs w:val="16"/>
        </w:rPr>
        <w:t xml:space="preserve">1.6. </w:t>
      </w:r>
      <w:r w:rsidRPr="00D72EED">
        <w:rPr>
          <w:b w:val="0"/>
          <w:bCs/>
          <w:sz w:val="16"/>
          <w:szCs w:val="16"/>
        </w:rPr>
        <w:t>Políticas</w:t>
      </w:r>
      <w:r w:rsidRPr="00EB0C8C">
        <w:rPr>
          <w:b w:val="0"/>
          <w:sz w:val="16"/>
          <w:szCs w:val="16"/>
        </w:rPr>
        <w:t xml:space="preserve"> para seguir en el evento en que se presenten excesos o defectos en los límites de inversión, tanto internos como legales. </w:t>
      </w:r>
      <w:r w:rsidRPr="00D72EED">
        <w:rPr>
          <w:b w:val="0"/>
          <w:bCs/>
          <w:sz w:val="16"/>
          <w:szCs w:val="16"/>
        </w:rPr>
        <w:t>Estas políticas deben detallar el procedimiento, requisitos, instancias responsables con sus niveles de atribución</w:t>
      </w:r>
      <w:r w:rsidR="00212ECA">
        <w:rPr>
          <w:b w:val="0"/>
          <w:bCs/>
          <w:sz w:val="16"/>
          <w:szCs w:val="16"/>
        </w:rPr>
        <w:t>,</w:t>
      </w:r>
      <w:r w:rsidRPr="00D72EED">
        <w:rPr>
          <w:b w:val="0"/>
          <w:bCs/>
          <w:sz w:val="16"/>
          <w:szCs w:val="16"/>
        </w:rPr>
        <w:t xml:space="preserve"> procesos de desmonte</w:t>
      </w:r>
      <w:r w:rsidR="00212ECA">
        <w:rPr>
          <w:b w:val="0"/>
          <w:bCs/>
          <w:sz w:val="16"/>
          <w:szCs w:val="16"/>
        </w:rPr>
        <w:t xml:space="preserve"> y los plazos atendiendo la naturaleza de la inversión</w:t>
      </w:r>
      <w:r w:rsidRPr="00D72EED">
        <w:rPr>
          <w:b w:val="0"/>
          <w:bCs/>
          <w:sz w:val="16"/>
          <w:szCs w:val="16"/>
        </w:rPr>
        <w:t xml:space="preserve">. </w:t>
      </w:r>
      <w:r w:rsidR="00212ECA">
        <w:rPr>
          <w:b w:val="0"/>
          <w:bCs/>
          <w:sz w:val="16"/>
          <w:szCs w:val="16"/>
        </w:rPr>
        <w:t xml:space="preserve">Dentro de los procedimientos a seguir ante un exceso o defecto en los límites de inversión se debe proceder a </w:t>
      </w:r>
      <w:r w:rsidRPr="00EB0C8C">
        <w:rPr>
          <w:b w:val="0"/>
          <w:bCs/>
          <w:sz w:val="16"/>
          <w:szCs w:val="16"/>
        </w:rPr>
        <w:t xml:space="preserve">la identificación de las </w:t>
      </w:r>
      <w:r>
        <w:rPr>
          <w:b w:val="0"/>
          <w:bCs/>
          <w:sz w:val="16"/>
          <w:szCs w:val="16"/>
        </w:rPr>
        <w:t>circunstancias</w:t>
      </w:r>
      <w:r w:rsidRPr="00EB0C8C">
        <w:rPr>
          <w:b w:val="0"/>
          <w:bCs/>
          <w:sz w:val="16"/>
          <w:szCs w:val="16"/>
        </w:rPr>
        <w:t xml:space="preserve"> que </w:t>
      </w:r>
      <w:r>
        <w:rPr>
          <w:b w:val="0"/>
          <w:bCs/>
          <w:sz w:val="16"/>
          <w:szCs w:val="16"/>
        </w:rPr>
        <w:t>llevaron</w:t>
      </w:r>
      <w:r w:rsidRPr="00EB0C8C">
        <w:rPr>
          <w:b w:val="0"/>
          <w:bCs/>
          <w:sz w:val="16"/>
          <w:szCs w:val="16"/>
        </w:rPr>
        <w:t xml:space="preserve"> </w:t>
      </w:r>
      <w:r>
        <w:rPr>
          <w:b w:val="0"/>
          <w:bCs/>
          <w:sz w:val="16"/>
          <w:szCs w:val="16"/>
        </w:rPr>
        <w:t>a</w:t>
      </w:r>
      <w:r w:rsidRPr="00EB0C8C">
        <w:rPr>
          <w:b w:val="0"/>
          <w:bCs/>
          <w:sz w:val="16"/>
          <w:szCs w:val="16"/>
        </w:rPr>
        <w:t>l incumplimiento del límite y los proceso</w:t>
      </w:r>
      <w:r>
        <w:rPr>
          <w:b w:val="0"/>
          <w:bCs/>
          <w:sz w:val="16"/>
          <w:szCs w:val="16"/>
        </w:rPr>
        <w:t>s</w:t>
      </w:r>
      <w:r w:rsidRPr="00EB0C8C">
        <w:rPr>
          <w:b w:val="0"/>
          <w:bCs/>
          <w:sz w:val="16"/>
          <w:szCs w:val="16"/>
        </w:rPr>
        <w:t xml:space="preserve"> y medidas a tomar para subsanarlas.</w:t>
      </w:r>
    </w:p>
    <w:p w14:paraId="0000BCD2" w14:textId="77777777" w:rsidR="00EB0C8C" w:rsidRPr="00D72EED" w:rsidRDefault="00EB0C8C" w:rsidP="00222BFB">
      <w:pPr>
        <w:pStyle w:val="ListParagraph1"/>
        <w:pBdr>
          <w:left w:val="single" w:sz="4" w:space="4" w:color="auto"/>
        </w:pBdr>
        <w:ind w:left="57"/>
        <w:rPr>
          <w:b w:val="0"/>
          <w:bCs/>
          <w:sz w:val="16"/>
          <w:szCs w:val="16"/>
        </w:rPr>
      </w:pPr>
    </w:p>
    <w:p w14:paraId="375871D9" w14:textId="2396679F" w:rsidR="00EB0C8C" w:rsidRDefault="00EB0C8C" w:rsidP="00222BFB">
      <w:pPr>
        <w:pStyle w:val="ListParagraph1"/>
        <w:pBdr>
          <w:left w:val="single" w:sz="4" w:space="4" w:color="auto"/>
        </w:pBdr>
        <w:ind w:left="57"/>
        <w:rPr>
          <w:b w:val="0"/>
          <w:bCs/>
          <w:sz w:val="16"/>
          <w:szCs w:val="16"/>
        </w:rPr>
      </w:pPr>
      <w:r w:rsidRPr="00D72EED">
        <w:rPr>
          <w:b w:val="0"/>
          <w:bCs/>
          <w:sz w:val="16"/>
          <w:szCs w:val="16"/>
        </w:rPr>
        <w:t>1.7. Políticas y criterios que se deben cumplir para la modificación de los límites internos. En todo caso</w:t>
      </w:r>
      <w:r w:rsidR="002841BF">
        <w:rPr>
          <w:b w:val="0"/>
          <w:bCs/>
          <w:sz w:val="16"/>
          <w:szCs w:val="16"/>
        </w:rPr>
        <w:t>,</w:t>
      </w:r>
      <w:r w:rsidRPr="00D72EED">
        <w:rPr>
          <w:b w:val="0"/>
          <w:bCs/>
          <w:sz w:val="16"/>
          <w:szCs w:val="16"/>
        </w:rPr>
        <w:t xml:space="preserve"> </w:t>
      </w:r>
      <w:r w:rsidR="002841BF">
        <w:rPr>
          <w:b w:val="0"/>
          <w:bCs/>
          <w:sz w:val="16"/>
          <w:szCs w:val="16"/>
        </w:rPr>
        <w:t>el incumplimiento</w:t>
      </w:r>
      <w:r w:rsidRPr="00D72EED">
        <w:rPr>
          <w:b w:val="0"/>
          <w:bCs/>
          <w:sz w:val="16"/>
          <w:szCs w:val="16"/>
        </w:rPr>
        <w:t xml:space="preserve"> de un límite no puede ser un criterio necesario ni suficiente para la modificación de éste.</w:t>
      </w:r>
    </w:p>
    <w:p w14:paraId="3F620CF0" w14:textId="2F972589" w:rsidR="00E5427C" w:rsidRDefault="00E5427C" w:rsidP="00222BFB">
      <w:pPr>
        <w:pStyle w:val="ListParagraph1"/>
        <w:pBdr>
          <w:left w:val="single" w:sz="4" w:space="4" w:color="auto"/>
        </w:pBdr>
        <w:ind w:left="57"/>
        <w:rPr>
          <w:b w:val="0"/>
          <w:bCs/>
          <w:sz w:val="16"/>
          <w:szCs w:val="16"/>
        </w:rPr>
      </w:pPr>
    </w:p>
    <w:p w14:paraId="5487C425" w14:textId="61DA65ED" w:rsidR="00E5427C" w:rsidRPr="00D72EED" w:rsidRDefault="00E5427C" w:rsidP="00222BFB">
      <w:pPr>
        <w:pStyle w:val="ListParagraph1"/>
        <w:pBdr>
          <w:left w:val="single" w:sz="4" w:space="4" w:color="auto"/>
        </w:pBdr>
        <w:ind w:left="57"/>
        <w:rPr>
          <w:b w:val="0"/>
          <w:bCs/>
          <w:sz w:val="16"/>
          <w:szCs w:val="16"/>
        </w:rPr>
      </w:pPr>
      <w:r>
        <w:rPr>
          <w:b w:val="0"/>
          <w:bCs/>
          <w:sz w:val="16"/>
          <w:szCs w:val="16"/>
        </w:rPr>
        <w:t>1.8. Políticas</w:t>
      </w:r>
      <w:r w:rsidRPr="00E5427C">
        <w:rPr>
          <w:b w:val="0"/>
          <w:bCs/>
          <w:sz w:val="16"/>
          <w:szCs w:val="16"/>
        </w:rPr>
        <w:t xml:space="preserve"> de inversiones en</w:t>
      </w:r>
      <w:r>
        <w:rPr>
          <w:b w:val="0"/>
          <w:bCs/>
          <w:sz w:val="16"/>
          <w:szCs w:val="16"/>
        </w:rPr>
        <w:t xml:space="preserve"> entidades</w:t>
      </w:r>
      <w:r w:rsidRPr="00E5427C">
        <w:rPr>
          <w:b w:val="0"/>
          <w:bCs/>
          <w:sz w:val="16"/>
          <w:szCs w:val="16"/>
        </w:rPr>
        <w:t xml:space="preserve"> vinculad</w:t>
      </w:r>
      <w:r w:rsidR="00556D6D">
        <w:rPr>
          <w:b w:val="0"/>
          <w:bCs/>
          <w:sz w:val="16"/>
          <w:szCs w:val="16"/>
        </w:rPr>
        <w:t>a</w:t>
      </w:r>
      <w:r w:rsidRPr="00E5427C">
        <w:rPr>
          <w:b w:val="0"/>
          <w:bCs/>
          <w:sz w:val="16"/>
          <w:szCs w:val="16"/>
        </w:rPr>
        <w:t xml:space="preserve">s o entidades que hagan parte del </w:t>
      </w:r>
      <w:r>
        <w:rPr>
          <w:b w:val="0"/>
          <w:bCs/>
          <w:sz w:val="16"/>
          <w:szCs w:val="16"/>
        </w:rPr>
        <w:t>conglomerado financiero, siempre que sean aplicables. Estas políticas deben guardar correspondencia</w:t>
      </w:r>
      <w:r w:rsidRPr="00E5427C">
        <w:rPr>
          <w:b w:val="0"/>
          <w:bCs/>
          <w:sz w:val="16"/>
          <w:szCs w:val="16"/>
        </w:rPr>
        <w:t xml:space="preserve"> con las políticas generales</w:t>
      </w:r>
      <w:r>
        <w:rPr>
          <w:b w:val="0"/>
          <w:bCs/>
          <w:sz w:val="16"/>
          <w:szCs w:val="16"/>
        </w:rPr>
        <w:t xml:space="preserve"> establecidas por </w:t>
      </w:r>
      <w:r w:rsidRPr="00E5427C">
        <w:rPr>
          <w:b w:val="0"/>
          <w:bCs/>
          <w:sz w:val="16"/>
          <w:szCs w:val="16"/>
        </w:rPr>
        <w:t>el conglomerado</w:t>
      </w:r>
      <w:r>
        <w:rPr>
          <w:b w:val="0"/>
          <w:bCs/>
          <w:sz w:val="16"/>
          <w:szCs w:val="16"/>
        </w:rPr>
        <w:t xml:space="preserve"> financiero</w:t>
      </w:r>
      <w:r w:rsidR="00B83C76">
        <w:rPr>
          <w:b w:val="0"/>
          <w:bCs/>
          <w:sz w:val="16"/>
          <w:szCs w:val="16"/>
        </w:rPr>
        <w:t xml:space="preserve"> respecto del límite de exposición y de concentración de riesgos, en línea con lo dispuesto en el artículo 2.39.3.2.1 del Decreto 2555 de 2010</w:t>
      </w:r>
      <w:r w:rsidR="00212ECA">
        <w:rPr>
          <w:b w:val="0"/>
          <w:bCs/>
          <w:sz w:val="16"/>
          <w:szCs w:val="16"/>
        </w:rPr>
        <w:t xml:space="preserve"> </w:t>
      </w:r>
      <w:r w:rsidR="00212ECA">
        <w:rPr>
          <w:b w:val="0"/>
          <w:sz w:val="16"/>
          <w:szCs w:val="16"/>
          <w:lang w:val="es-CO"/>
        </w:rPr>
        <w:t>u otras disposiciones</w:t>
      </w:r>
      <w:r w:rsidRPr="00E5427C">
        <w:rPr>
          <w:b w:val="0"/>
          <w:bCs/>
          <w:sz w:val="16"/>
          <w:szCs w:val="16"/>
        </w:rPr>
        <w:t>.</w:t>
      </w:r>
    </w:p>
    <w:p w14:paraId="7AF2E313" w14:textId="77777777" w:rsidR="00EB0C8C" w:rsidRPr="001B0E60" w:rsidRDefault="00EB0C8C" w:rsidP="00DB1073">
      <w:pPr>
        <w:pBdr>
          <w:left w:val="single" w:sz="4" w:space="1" w:color="auto"/>
        </w:pBdr>
        <w:tabs>
          <w:tab w:val="num" w:pos="720"/>
        </w:tabs>
        <w:autoSpaceDE w:val="0"/>
        <w:autoSpaceDN w:val="0"/>
        <w:adjustRightInd w:val="0"/>
        <w:ind w:left="720" w:hanging="720"/>
        <w:rPr>
          <w:rFonts w:cs="Arial"/>
          <w:sz w:val="14"/>
          <w:szCs w:val="16"/>
        </w:rPr>
      </w:pPr>
    </w:p>
    <w:p w14:paraId="307EB1B0" w14:textId="128530BC" w:rsidR="000C531B" w:rsidRPr="0075232D" w:rsidRDefault="000C531B" w:rsidP="00DB1073">
      <w:pPr>
        <w:pBdr>
          <w:left w:val="single" w:sz="4" w:space="1" w:color="auto"/>
        </w:pBdr>
        <w:autoSpaceDE w:val="0"/>
        <w:autoSpaceDN w:val="0"/>
        <w:adjustRightInd w:val="0"/>
      </w:pPr>
      <w:r w:rsidRPr="4C06314D">
        <w:rPr>
          <w:rFonts w:cs="Arial"/>
          <w:sz w:val="16"/>
          <w:szCs w:val="16"/>
        </w:rPr>
        <w:t>1.</w:t>
      </w:r>
      <w:r w:rsidR="009E04F0">
        <w:rPr>
          <w:rFonts w:cs="Arial"/>
          <w:sz w:val="16"/>
          <w:szCs w:val="16"/>
        </w:rPr>
        <w:t>9</w:t>
      </w:r>
      <w:r w:rsidRPr="4C06314D">
        <w:rPr>
          <w:rFonts w:cs="Arial"/>
          <w:sz w:val="16"/>
          <w:szCs w:val="16"/>
        </w:rPr>
        <w:t>. Procedimiento para evaluar el desempeño en la gestión de las inversiones, en donde se indique por lo menos:</w:t>
      </w:r>
    </w:p>
    <w:p w14:paraId="49E398E2" w14:textId="77777777" w:rsidR="000C531B" w:rsidRPr="001B0E60" w:rsidRDefault="000C531B" w:rsidP="00DB1073">
      <w:pPr>
        <w:pBdr>
          <w:left w:val="single" w:sz="4" w:space="1" w:color="auto"/>
        </w:pBdr>
        <w:tabs>
          <w:tab w:val="num" w:pos="720"/>
        </w:tabs>
        <w:autoSpaceDE w:val="0"/>
        <w:autoSpaceDN w:val="0"/>
        <w:adjustRightInd w:val="0"/>
        <w:ind w:left="720" w:hanging="720"/>
        <w:rPr>
          <w:rFonts w:cs="Arial"/>
          <w:sz w:val="14"/>
          <w:szCs w:val="16"/>
        </w:rPr>
      </w:pPr>
    </w:p>
    <w:p w14:paraId="230E8661" w14:textId="1AAB4489" w:rsidR="000C531B" w:rsidRPr="0075232D" w:rsidRDefault="000C531B" w:rsidP="00DB1073">
      <w:pPr>
        <w:pBdr>
          <w:left w:val="single" w:sz="4" w:space="1" w:color="auto"/>
        </w:pBdr>
        <w:autoSpaceDE w:val="0"/>
        <w:autoSpaceDN w:val="0"/>
        <w:adjustRightInd w:val="0"/>
        <w:rPr>
          <w:rFonts w:cs="Arial"/>
          <w:sz w:val="16"/>
          <w:szCs w:val="16"/>
        </w:rPr>
      </w:pPr>
      <w:r w:rsidRPr="4C06314D">
        <w:rPr>
          <w:rFonts w:cs="Arial"/>
          <w:sz w:val="16"/>
          <w:szCs w:val="16"/>
        </w:rPr>
        <w:t>1.</w:t>
      </w:r>
      <w:r w:rsidR="009E04F0">
        <w:rPr>
          <w:rFonts w:cs="Arial"/>
          <w:sz w:val="16"/>
          <w:szCs w:val="16"/>
        </w:rPr>
        <w:t>9</w:t>
      </w:r>
      <w:r w:rsidRPr="4C06314D">
        <w:rPr>
          <w:rFonts w:cs="Arial"/>
          <w:sz w:val="16"/>
          <w:szCs w:val="16"/>
        </w:rPr>
        <w:t>.1. Descripción de los indicadores a utilizar</w:t>
      </w:r>
      <w:r w:rsidR="005A0C12">
        <w:rPr>
          <w:rFonts w:cs="Arial"/>
          <w:sz w:val="16"/>
          <w:szCs w:val="16"/>
        </w:rPr>
        <w:t>.</w:t>
      </w:r>
    </w:p>
    <w:p w14:paraId="5FFDB5CA" w14:textId="37710400" w:rsidR="000C531B" w:rsidRPr="0075232D" w:rsidRDefault="000C531B" w:rsidP="00DB1073">
      <w:pPr>
        <w:pBdr>
          <w:left w:val="single" w:sz="4" w:space="1" w:color="auto"/>
        </w:pBdr>
        <w:autoSpaceDE w:val="0"/>
        <w:autoSpaceDN w:val="0"/>
        <w:adjustRightInd w:val="0"/>
        <w:rPr>
          <w:rFonts w:cs="Arial"/>
          <w:sz w:val="16"/>
          <w:szCs w:val="16"/>
        </w:rPr>
      </w:pPr>
      <w:r w:rsidRPr="4C06314D">
        <w:rPr>
          <w:rFonts w:cs="Arial"/>
          <w:sz w:val="16"/>
          <w:szCs w:val="16"/>
        </w:rPr>
        <w:lastRenderedPageBreak/>
        <w:t>1.</w:t>
      </w:r>
      <w:r w:rsidR="009E04F0">
        <w:rPr>
          <w:rFonts w:cs="Arial"/>
          <w:sz w:val="16"/>
          <w:szCs w:val="16"/>
        </w:rPr>
        <w:t>9</w:t>
      </w:r>
      <w:r w:rsidRPr="4C06314D">
        <w:rPr>
          <w:rFonts w:cs="Arial"/>
          <w:sz w:val="16"/>
          <w:szCs w:val="16"/>
        </w:rPr>
        <w:t>.2. Periodicidad de evaluación</w:t>
      </w:r>
      <w:r w:rsidR="005A0C12">
        <w:rPr>
          <w:rFonts w:cs="Arial"/>
          <w:sz w:val="16"/>
          <w:szCs w:val="16"/>
        </w:rPr>
        <w:t>.</w:t>
      </w:r>
    </w:p>
    <w:p w14:paraId="0DE6294E" w14:textId="0AC4FA3B" w:rsidR="000C531B" w:rsidRPr="0075232D" w:rsidRDefault="000C531B" w:rsidP="00DB1073">
      <w:pPr>
        <w:pBdr>
          <w:left w:val="single" w:sz="4" w:space="1" w:color="auto"/>
        </w:pBdr>
        <w:autoSpaceDE w:val="0"/>
        <w:autoSpaceDN w:val="0"/>
        <w:adjustRightInd w:val="0"/>
        <w:rPr>
          <w:rFonts w:cs="Arial"/>
          <w:sz w:val="16"/>
          <w:szCs w:val="16"/>
        </w:rPr>
      </w:pPr>
      <w:r w:rsidRPr="4C06314D">
        <w:rPr>
          <w:rFonts w:cs="Arial"/>
          <w:sz w:val="16"/>
          <w:szCs w:val="16"/>
        </w:rPr>
        <w:t>1.</w:t>
      </w:r>
      <w:r w:rsidR="009E04F0">
        <w:rPr>
          <w:rFonts w:cs="Arial"/>
          <w:sz w:val="16"/>
          <w:szCs w:val="16"/>
        </w:rPr>
        <w:t>9</w:t>
      </w:r>
      <w:r w:rsidRPr="4C06314D">
        <w:rPr>
          <w:rFonts w:cs="Arial"/>
          <w:sz w:val="16"/>
          <w:szCs w:val="16"/>
        </w:rPr>
        <w:t>.3. Órgano</w:t>
      </w:r>
      <w:r w:rsidR="00FB5B95">
        <w:rPr>
          <w:rFonts w:cs="Arial"/>
          <w:sz w:val="16"/>
          <w:szCs w:val="16"/>
        </w:rPr>
        <w:t>s</w:t>
      </w:r>
      <w:r w:rsidRPr="4C06314D">
        <w:rPr>
          <w:rFonts w:cs="Arial"/>
          <w:sz w:val="16"/>
          <w:szCs w:val="16"/>
        </w:rPr>
        <w:t xml:space="preserve"> o áreas encargadas de hacer seguimiento a dicha evaluación</w:t>
      </w:r>
      <w:r w:rsidR="005A0C12">
        <w:rPr>
          <w:rFonts w:cs="Arial"/>
          <w:sz w:val="16"/>
          <w:szCs w:val="16"/>
        </w:rPr>
        <w:t>.</w:t>
      </w:r>
      <w:r w:rsidRPr="4C06314D">
        <w:rPr>
          <w:rFonts w:cs="Arial"/>
          <w:sz w:val="16"/>
          <w:szCs w:val="16"/>
        </w:rPr>
        <w:t xml:space="preserve"> </w:t>
      </w:r>
    </w:p>
    <w:p w14:paraId="758A36E7" w14:textId="29DB5134" w:rsidR="000C531B" w:rsidRPr="0075232D" w:rsidRDefault="000C531B" w:rsidP="00DB1073">
      <w:pPr>
        <w:pBdr>
          <w:left w:val="single" w:sz="4" w:space="1" w:color="auto"/>
        </w:pBdr>
        <w:autoSpaceDE w:val="0"/>
        <w:autoSpaceDN w:val="0"/>
        <w:adjustRightInd w:val="0"/>
        <w:rPr>
          <w:rFonts w:cs="Arial"/>
          <w:sz w:val="16"/>
          <w:szCs w:val="16"/>
        </w:rPr>
      </w:pPr>
      <w:r w:rsidRPr="4C06314D">
        <w:rPr>
          <w:rFonts w:cs="Arial"/>
          <w:sz w:val="16"/>
          <w:szCs w:val="16"/>
        </w:rPr>
        <w:t>1.</w:t>
      </w:r>
      <w:r w:rsidR="009E04F0">
        <w:rPr>
          <w:rFonts w:cs="Arial"/>
          <w:sz w:val="16"/>
          <w:szCs w:val="16"/>
        </w:rPr>
        <w:t>9</w:t>
      </w:r>
      <w:r w:rsidRPr="4C06314D">
        <w:rPr>
          <w:rFonts w:cs="Arial"/>
          <w:sz w:val="16"/>
          <w:szCs w:val="16"/>
        </w:rPr>
        <w:t>.4. Órganos o áreas receptores de las evaluaciones</w:t>
      </w:r>
      <w:r w:rsidR="005A0C12">
        <w:rPr>
          <w:rFonts w:cs="Arial"/>
          <w:sz w:val="16"/>
          <w:szCs w:val="16"/>
        </w:rPr>
        <w:t>.</w:t>
      </w:r>
      <w:r w:rsidR="009F6B44" w:rsidRPr="0075232D" w:rsidDel="009F6B44">
        <w:rPr>
          <w:rFonts w:cs="Arial"/>
          <w:sz w:val="16"/>
          <w:szCs w:val="16"/>
        </w:rPr>
        <w:t xml:space="preserve"> </w:t>
      </w:r>
      <w:r w:rsidRPr="4C06314D">
        <w:rPr>
          <w:rFonts w:cs="Arial"/>
          <w:sz w:val="16"/>
          <w:szCs w:val="16"/>
        </w:rPr>
        <w:t>1.</w:t>
      </w:r>
      <w:r w:rsidR="009E04F0">
        <w:rPr>
          <w:rFonts w:cs="Arial"/>
          <w:sz w:val="16"/>
          <w:szCs w:val="16"/>
        </w:rPr>
        <w:t>10</w:t>
      </w:r>
      <w:r w:rsidRPr="4C06314D">
        <w:rPr>
          <w:rFonts w:cs="Arial"/>
          <w:sz w:val="16"/>
          <w:szCs w:val="16"/>
        </w:rPr>
        <w:t>. Condiciones profesionales exigidas al personal interno o externo relacionadas con el área de inversiones</w:t>
      </w:r>
      <w:r w:rsidR="1919FF82" w:rsidRPr="4C06314D">
        <w:rPr>
          <w:rFonts w:cs="Arial"/>
          <w:sz w:val="16"/>
          <w:szCs w:val="16"/>
        </w:rPr>
        <w:t>.</w:t>
      </w:r>
    </w:p>
    <w:p w14:paraId="5BE93A62" w14:textId="77777777" w:rsidR="000C531B" w:rsidRDefault="000C531B" w:rsidP="00DB1073">
      <w:pPr>
        <w:pBdr>
          <w:left w:val="single" w:sz="4" w:space="1" w:color="auto"/>
        </w:pBdr>
        <w:tabs>
          <w:tab w:val="num" w:pos="720"/>
        </w:tabs>
        <w:autoSpaceDE w:val="0"/>
        <w:autoSpaceDN w:val="0"/>
        <w:adjustRightInd w:val="0"/>
        <w:rPr>
          <w:rFonts w:cs="Arial"/>
          <w:sz w:val="14"/>
          <w:szCs w:val="16"/>
        </w:rPr>
      </w:pPr>
    </w:p>
    <w:p w14:paraId="563AC835" w14:textId="2129A40F" w:rsidR="000C5899" w:rsidRDefault="000C531B" w:rsidP="00DB1073">
      <w:pPr>
        <w:pBdr>
          <w:left w:val="single" w:sz="4" w:space="1" w:color="auto"/>
        </w:pBdr>
        <w:autoSpaceDE w:val="0"/>
        <w:autoSpaceDN w:val="0"/>
        <w:adjustRightInd w:val="0"/>
        <w:rPr>
          <w:rFonts w:cs="Arial"/>
          <w:sz w:val="16"/>
          <w:szCs w:val="16"/>
        </w:rPr>
      </w:pPr>
      <w:r w:rsidRPr="5739FB80">
        <w:rPr>
          <w:rFonts w:cs="Arial"/>
          <w:sz w:val="16"/>
          <w:szCs w:val="16"/>
        </w:rPr>
        <w:t>1.</w:t>
      </w:r>
      <w:r w:rsidR="00EB0C8C">
        <w:rPr>
          <w:rFonts w:cs="Arial"/>
          <w:sz w:val="16"/>
          <w:szCs w:val="16"/>
        </w:rPr>
        <w:t>1</w:t>
      </w:r>
      <w:r w:rsidR="009E04F0">
        <w:rPr>
          <w:rFonts w:cs="Arial"/>
          <w:sz w:val="16"/>
          <w:szCs w:val="16"/>
        </w:rPr>
        <w:t>1</w:t>
      </w:r>
      <w:r w:rsidRPr="5739FB80">
        <w:rPr>
          <w:rFonts w:cs="Arial"/>
          <w:sz w:val="16"/>
          <w:szCs w:val="16"/>
        </w:rPr>
        <w:t>.</w:t>
      </w:r>
      <w:r w:rsidR="0054788F">
        <w:rPr>
          <w:rFonts w:cs="Arial"/>
          <w:sz w:val="16"/>
          <w:szCs w:val="16"/>
        </w:rPr>
        <w:t xml:space="preserve"> </w:t>
      </w:r>
      <w:r w:rsidR="00FB5B95">
        <w:rPr>
          <w:rFonts w:cs="Arial"/>
          <w:sz w:val="16"/>
          <w:szCs w:val="16"/>
        </w:rPr>
        <w:t>D</w:t>
      </w:r>
      <w:r w:rsidR="26199CDD" w:rsidRPr="5739FB80">
        <w:rPr>
          <w:rFonts w:cs="Arial"/>
          <w:sz w:val="16"/>
          <w:szCs w:val="16"/>
        </w:rPr>
        <w:t>escripción general de los riesgos a los que se encuentra expuesto el portafolio de inversiones, la cual deben incorporar como mínimo los efectos de los riesgos de liquidez, mercado</w:t>
      </w:r>
      <w:r w:rsidR="001A1A3B">
        <w:rPr>
          <w:rFonts w:cs="Arial"/>
          <w:sz w:val="16"/>
          <w:szCs w:val="16"/>
        </w:rPr>
        <w:t xml:space="preserve"> y</w:t>
      </w:r>
      <w:r w:rsidR="26199CDD" w:rsidRPr="5739FB80">
        <w:rPr>
          <w:rFonts w:cs="Arial"/>
          <w:sz w:val="16"/>
          <w:szCs w:val="16"/>
        </w:rPr>
        <w:t xml:space="preserve"> crédito en un análisis integral del portafolio.</w:t>
      </w:r>
      <w:r w:rsidR="000C5899">
        <w:rPr>
          <w:rFonts w:cs="Arial"/>
          <w:sz w:val="16"/>
          <w:szCs w:val="16"/>
        </w:rPr>
        <w:t xml:space="preserve"> </w:t>
      </w:r>
      <w:r w:rsidR="001A1A3B">
        <w:rPr>
          <w:rFonts w:cs="Arial"/>
          <w:sz w:val="16"/>
          <w:szCs w:val="16"/>
        </w:rPr>
        <w:t xml:space="preserve">Las entidades aseguradoras deben </w:t>
      </w:r>
      <w:r w:rsidR="0020409F">
        <w:rPr>
          <w:rFonts w:cs="Arial"/>
          <w:sz w:val="16"/>
          <w:szCs w:val="16"/>
        </w:rPr>
        <w:t>mencionar</w:t>
      </w:r>
      <w:r w:rsidR="001A1A3B">
        <w:rPr>
          <w:rFonts w:cs="Arial"/>
          <w:sz w:val="16"/>
          <w:szCs w:val="16"/>
        </w:rPr>
        <w:t xml:space="preserve"> en su política de inversión </w:t>
      </w:r>
      <w:r w:rsidR="0020409F">
        <w:rPr>
          <w:rFonts w:cs="Arial"/>
          <w:sz w:val="16"/>
          <w:szCs w:val="16"/>
        </w:rPr>
        <w:t xml:space="preserve">si incluirán </w:t>
      </w:r>
      <w:r w:rsidR="00563981">
        <w:rPr>
          <w:rFonts w:cs="Arial"/>
          <w:sz w:val="16"/>
          <w:szCs w:val="16"/>
        </w:rPr>
        <w:t xml:space="preserve">la evaluación </w:t>
      </w:r>
      <w:r w:rsidR="008A009B">
        <w:rPr>
          <w:rFonts w:cs="Arial"/>
          <w:sz w:val="16"/>
          <w:szCs w:val="16"/>
        </w:rPr>
        <w:t xml:space="preserve">de los </w:t>
      </w:r>
      <w:bookmarkStart w:id="3" w:name="_Hlk67416890"/>
      <w:r w:rsidR="009F6B44" w:rsidRPr="00D72EED">
        <w:rPr>
          <w:rFonts w:cs="Arial"/>
          <w:bCs/>
          <w:sz w:val="16"/>
          <w:szCs w:val="16"/>
        </w:rPr>
        <w:t xml:space="preserve">asuntos ambientales, sociales y de gobierno corporativo </w:t>
      </w:r>
      <w:bookmarkEnd w:id="3"/>
      <w:r w:rsidR="009F6B44" w:rsidRPr="00D72EED">
        <w:rPr>
          <w:rFonts w:cs="Arial"/>
          <w:bCs/>
          <w:sz w:val="16"/>
          <w:szCs w:val="16"/>
        </w:rPr>
        <w:t>(ASG)</w:t>
      </w:r>
      <w:r w:rsidR="001A1A3B" w:rsidRPr="5739FB80">
        <w:rPr>
          <w:rFonts w:cs="Arial"/>
          <w:sz w:val="16"/>
          <w:szCs w:val="16"/>
        </w:rPr>
        <w:t>y climático</w:t>
      </w:r>
      <w:r w:rsidR="00105F02">
        <w:rPr>
          <w:rFonts w:cs="Arial"/>
          <w:sz w:val="16"/>
          <w:szCs w:val="16"/>
        </w:rPr>
        <w:t xml:space="preserve">, o los motivos por los cuales </w:t>
      </w:r>
      <w:r w:rsidR="00AE6E4C">
        <w:rPr>
          <w:rFonts w:cs="Arial"/>
          <w:sz w:val="16"/>
          <w:szCs w:val="16"/>
        </w:rPr>
        <w:t>se pre</w:t>
      </w:r>
      <w:r w:rsidR="006762FB">
        <w:rPr>
          <w:rFonts w:cs="Arial"/>
          <w:sz w:val="16"/>
          <w:szCs w:val="16"/>
        </w:rPr>
        <w:t>scinde de la mención</w:t>
      </w:r>
      <w:r w:rsidR="000C5899">
        <w:rPr>
          <w:rFonts w:cs="Arial"/>
          <w:sz w:val="16"/>
          <w:szCs w:val="16"/>
        </w:rPr>
        <w:t>.</w:t>
      </w:r>
    </w:p>
    <w:p w14:paraId="221EC6B5" w14:textId="6FD4EAA6" w:rsidR="001A1A3B" w:rsidRPr="000C5899" w:rsidRDefault="00AC4FC7" w:rsidP="00DB1073">
      <w:pPr>
        <w:pBdr>
          <w:left w:val="single" w:sz="4" w:space="1" w:color="auto"/>
        </w:pBdr>
        <w:autoSpaceDE w:val="0"/>
        <w:autoSpaceDN w:val="0"/>
        <w:adjustRightInd w:val="0"/>
        <w:rPr>
          <w:rFonts w:cs="Arial"/>
          <w:sz w:val="16"/>
          <w:szCs w:val="16"/>
        </w:rPr>
      </w:pPr>
      <w:r>
        <w:rPr>
          <w:rFonts w:cs="Arial"/>
          <w:sz w:val="16"/>
          <w:szCs w:val="16"/>
        </w:rPr>
        <w:t xml:space="preserve"> </w:t>
      </w:r>
    </w:p>
    <w:p w14:paraId="074884A8" w14:textId="5021371D" w:rsidR="1A8DFADD" w:rsidRPr="006762FB" w:rsidRDefault="000C531B" w:rsidP="00DB1073">
      <w:pPr>
        <w:pBdr>
          <w:left w:val="single" w:sz="4" w:space="1" w:color="auto"/>
        </w:pBdr>
        <w:rPr>
          <w:b/>
          <w:bCs/>
          <w:szCs w:val="18"/>
        </w:rPr>
      </w:pPr>
      <w:r w:rsidRPr="4C06314D">
        <w:rPr>
          <w:rFonts w:cs="Arial"/>
          <w:sz w:val="16"/>
          <w:szCs w:val="16"/>
        </w:rPr>
        <w:t>1</w:t>
      </w:r>
      <w:r w:rsidR="00EB0C8C">
        <w:rPr>
          <w:rFonts w:cs="Arial"/>
          <w:sz w:val="16"/>
          <w:szCs w:val="16"/>
        </w:rPr>
        <w:t>1</w:t>
      </w:r>
      <w:r w:rsidR="009E04F0">
        <w:rPr>
          <w:rFonts w:cs="Arial"/>
          <w:sz w:val="16"/>
          <w:szCs w:val="16"/>
        </w:rPr>
        <w:t>2</w:t>
      </w:r>
      <w:r w:rsidRPr="4C06314D">
        <w:rPr>
          <w:rFonts w:cs="Arial"/>
          <w:sz w:val="16"/>
          <w:szCs w:val="16"/>
        </w:rPr>
        <w:t xml:space="preserve">. </w:t>
      </w:r>
      <w:r w:rsidR="1A8DFADD" w:rsidRPr="4FCED7AD">
        <w:rPr>
          <w:rFonts w:cs="Arial"/>
          <w:sz w:val="16"/>
          <w:szCs w:val="16"/>
        </w:rPr>
        <w:t>Políticas en la administración o gestión de riesgos a los que se encuentra expuesto el portafolio de inversiones, las cuales deben incorporar como mínimo los efectos de los riesgos de liquidez, mercado</w:t>
      </w:r>
      <w:r w:rsidR="006762FB">
        <w:rPr>
          <w:rFonts w:cs="Arial"/>
          <w:sz w:val="16"/>
          <w:szCs w:val="16"/>
        </w:rPr>
        <w:t xml:space="preserve"> y</w:t>
      </w:r>
      <w:r w:rsidR="1A8DFADD" w:rsidRPr="4FCED7AD">
        <w:rPr>
          <w:rFonts w:cs="Arial"/>
          <w:sz w:val="16"/>
          <w:szCs w:val="16"/>
        </w:rPr>
        <w:t xml:space="preserve"> crédito en un análisis integral del portafolio.</w:t>
      </w:r>
      <w:r w:rsidR="006762FB" w:rsidRPr="006762FB">
        <w:rPr>
          <w:rFonts w:cs="Arial"/>
          <w:sz w:val="16"/>
          <w:szCs w:val="16"/>
        </w:rPr>
        <w:t xml:space="preserve"> </w:t>
      </w:r>
      <w:r w:rsidR="006762FB">
        <w:rPr>
          <w:rFonts w:cs="Arial"/>
          <w:sz w:val="16"/>
          <w:szCs w:val="16"/>
        </w:rPr>
        <w:t>Las entidades aseguradoras deben mencionar en su política de inversión si incluirán la evaluación de los riesgos</w:t>
      </w:r>
      <w:r w:rsidR="006762FB" w:rsidRPr="5739FB80">
        <w:rPr>
          <w:rFonts w:cs="Arial"/>
          <w:sz w:val="16"/>
          <w:szCs w:val="16"/>
        </w:rPr>
        <w:t xml:space="preserve"> </w:t>
      </w:r>
      <w:r w:rsidR="00BF41C5">
        <w:rPr>
          <w:rFonts w:cs="Arial"/>
          <w:sz w:val="16"/>
          <w:szCs w:val="16"/>
        </w:rPr>
        <w:t>A</w:t>
      </w:r>
      <w:r w:rsidR="006762FB" w:rsidRPr="5739FB80">
        <w:rPr>
          <w:rFonts w:cs="Arial"/>
          <w:sz w:val="16"/>
          <w:szCs w:val="16"/>
        </w:rPr>
        <w:t>SG y climático</w:t>
      </w:r>
      <w:r w:rsidR="006762FB">
        <w:rPr>
          <w:rFonts w:cs="Arial"/>
          <w:sz w:val="16"/>
          <w:szCs w:val="16"/>
        </w:rPr>
        <w:t>, o los motivos por los cuales se prescinde de la mención.</w:t>
      </w:r>
    </w:p>
    <w:p w14:paraId="0B4020A7" w14:textId="77777777" w:rsidR="000C531B" w:rsidRPr="001B0E60" w:rsidRDefault="000C531B" w:rsidP="00DB1073">
      <w:pPr>
        <w:pBdr>
          <w:left w:val="single" w:sz="4" w:space="1" w:color="auto"/>
        </w:pBdr>
        <w:autoSpaceDE w:val="0"/>
        <w:autoSpaceDN w:val="0"/>
        <w:adjustRightInd w:val="0"/>
        <w:rPr>
          <w:rFonts w:cs="Arial"/>
          <w:sz w:val="14"/>
          <w:szCs w:val="16"/>
        </w:rPr>
      </w:pPr>
    </w:p>
    <w:p w14:paraId="5D3B096D" w14:textId="254C39D0" w:rsidR="000C531B" w:rsidRPr="0075232D" w:rsidRDefault="000C531B" w:rsidP="00DB1073">
      <w:pPr>
        <w:pBdr>
          <w:left w:val="single" w:sz="4" w:space="1" w:color="auto"/>
        </w:pBdr>
        <w:autoSpaceDE w:val="0"/>
        <w:autoSpaceDN w:val="0"/>
        <w:adjustRightInd w:val="0"/>
        <w:rPr>
          <w:rFonts w:cs="Arial"/>
          <w:sz w:val="16"/>
          <w:szCs w:val="16"/>
        </w:rPr>
      </w:pPr>
      <w:r w:rsidRPr="4C06314D">
        <w:rPr>
          <w:rFonts w:cs="Arial"/>
          <w:sz w:val="16"/>
          <w:szCs w:val="16"/>
        </w:rPr>
        <w:t>1.</w:t>
      </w:r>
      <w:r w:rsidR="009E04F0">
        <w:rPr>
          <w:rFonts w:cs="Arial"/>
          <w:sz w:val="16"/>
          <w:szCs w:val="16"/>
        </w:rPr>
        <w:t>12</w:t>
      </w:r>
      <w:r w:rsidRPr="4C06314D">
        <w:rPr>
          <w:rFonts w:cs="Arial"/>
          <w:sz w:val="16"/>
          <w:szCs w:val="16"/>
        </w:rPr>
        <w:t>.1. Mecanismos de identificación, medición, control y monitoreo de cada uno de los riesgos, en donde se indique por lo menos:</w:t>
      </w:r>
    </w:p>
    <w:p w14:paraId="1D7B270A" w14:textId="77777777" w:rsidR="000C531B" w:rsidRPr="001B0E60" w:rsidRDefault="000C531B" w:rsidP="00DB1073">
      <w:pPr>
        <w:pBdr>
          <w:left w:val="single" w:sz="4" w:space="1" w:color="auto"/>
        </w:pBdr>
        <w:tabs>
          <w:tab w:val="num" w:pos="720"/>
        </w:tabs>
        <w:autoSpaceDE w:val="0"/>
        <w:autoSpaceDN w:val="0"/>
        <w:adjustRightInd w:val="0"/>
        <w:ind w:left="720" w:hanging="720"/>
        <w:rPr>
          <w:rFonts w:cs="Arial"/>
          <w:sz w:val="14"/>
          <w:szCs w:val="16"/>
        </w:rPr>
      </w:pPr>
    </w:p>
    <w:p w14:paraId="3C565ED7" w14:textId="7852B813" w:rsidR="000C531B" w:rsidRPr="0075232D" w:rsidRDefault="16F15C07" w:rsidP="00DB1073">
      <w:pPr>
        <w:pBdr>
          <w:left w:val="single" w:sz="4" w:space="1" w:color="auto"/>
        </w:pBdr>
        <w:tabs>
          <w:tab w:val="num" w:pos="3600"/>
        </w:tabs>
        <w:autoSpaceDE w:val="0"/>
        <w:autoSpaceDN w:val="0"/>
        <w:adjustRightInd w:val="0"/>
        <w:rPr>
          <w:rFonts w:eastAsia="Arial" w:cs="Arial"/>
          <w:sz w:val="16"/>
          <w:szCs w:val="16"/>
        </w:rPr>
      </w:pPr>
      <w:r w:rsidRPr="4C06314D">
        <w:rPr>
          <w:rFonts w:eastAsia="Arial" w:cs="Arial"/>
          <w:sz w:val="16"/>
          <w:szCs w:val="16"/>
        </w:rPr>
        <w:t>1.</w:t>
      </w:r>
      <w:r w:rsidR="00EB0C8C">
        <w:rPr>
          <w:rFonts w:eastAsia="Arial" w:cs="Arial"/>
          <w:sz w:val="16"/>
          <w:szCs w:val="16"/>
        </w:rPr>
        <w:t>1</w:t>
      </w:r>
      <w:r w:rsidR="009E04F0">
        <w:rPr>
          <w:rFonts w:eastAsia="Arial" w:cs="Arial"/>
          <w:sz w:val="16"/>
          <w:szCs w:val="16"/>
        </w:rPr>
        <w:t>2</w:t>
      </w:r>
      <w:r w:rsidR="006A20AF">
        <w:rPr>
          <w:rFonts w:eastAsia="Arial" w:cs="Arial"/>
          <w:sz w:val="16"/>
          <w:szCs w:val="16"/>
        </w:rPr>
        <w:t>.</w:t>
      </w:r>
      <w:r w:rsidRPr="4C06314D">
        <w:rPr>
          <w:rFonts w:eastAsia="Arial" w:cs="Arial"/>
          <w:sz w:val="16"/>
          <w:szCs w:val="16"/>
        </w:rPr>
        <w:t>1</w:t>
      </w:r>
      <w:r w:rsidR="000C531B" w:rsidRPr="4C06314D">
        <w:rPr>
          <w:rFonts w:eastAsia="Arial" w:cs="Arial"/>
          <w:sz w:val="16"/>
          <w:szCs w:val="16"/>
        </w:rPr>
        <w:t>.1. Métodos de medición y control</w:t>
      </w:r>
      <w:r w:rsidR="007F5F09">
        <w:rPr>
          <w:rFonts w:eastAsia="Arial" w:cs="Arial"/>
          <w:sz w:val="16"/>
          <w:szCs w:val="16"/>
        </w:rPr>
        <w:t>.</w:t>
      </w:r>
    </w:p>
    <w:p w14:paraId="1FEAE121" w14:textId="186CB71A" w:rsidR="000C531B" w:rsidRPr="0075232D" w:rsidRDefault="098F8AAF" w:rsidP="00DB1073">
      <w:pPr>
        <w:pBdr>
          <w:left w:val="single" w:sz="4" w:space="1" w:color="auto"/>
        </w:pBdr>
        <w:tabs>
          <w:tab w:val="num" w:pos="3600"/>
        </w:tabs>
        <w:autoSpaceDE w:val="0"/>
        <w:autoSpaceDN w:val="0"/>
        <w:adjustRightInd w:val="0"/>
        <w:rPr>
          <w:rFonts w:eastAsia="Arial" w:cs="Arial"/>
          <w:sz w:val="16"/>
          <w:szCs w:val="16"/>
        </w:rPr>
      </w:pPr>
      <w:r w:rsidRPr="4C06314D">
        <w:rPr>
          <w:rFonts w:eastAsia="Arial" w:cs="Arial"/>
          <w:sz w:val="16"/>
          <w:szCs w:val="16"/>
        </w:rPr>
        <w:t>1.</w:t>
      </w:r>
      <w:r w:rsidR="00EB0C8C">
        <w:rPr>
          <w:rFonts w:eastAsia="Arial" w:cs="Arial"/>
          <w:sz w:val="16"/>
          <w:szCs w:val="16"/>
        </w:rPr>
        <w:t>1</w:t>
      </w:r>
      <w:r w:rsidR="009E04F0">
        <w:rPr>
          <w:rFonts w:eastAsia="Arial" w:cs="Arial"/>
          <w:sz w:val="16"/>
          <w:szCs w:val="16"/>
        </w:rPr>
        <w:t>2</w:t>
      </w:r>
      <w:r w:rsidRPr="4C06314D">
        <w:rPr>
          <w:rFonts w:eastAsia="Arial" w:cs="Arial"/>
          <w:sz w:val="16"/>
          <w:szCs w:val="16"/>
        </w:rPr>
        <w:t>.1.</w:t>
      </w:r>
      <w:r w:rsidR="000C531B" w:rsidRPr="4C06314D">
        <w:rPr>
          <w:rFonts w:eastAsia="Arial" w:cs="Arial"/>
          <w:sz w:val="16"/>
          <w:szCs w:val="16"/>
        </w:rPr>
        <w:t>2. Mecanismos de monitoreo</w:t>
      </w:r>
      <w:r w:rsidR="007F5F09">
        <w:rPr>
          <w:rFonts w:eastAsia="Arial" w:cs="Arial"/>
          <w:sz w:val="16"/>
          <w:szCs w:val="16"/>
        </w:rPr>
        <w:t>.</w:t>
      </w:r>
      <w:r w:rsidR="000C531B" w:rsidRPr="4C06314D">
        <w:rPr>
          <w:rFonts w:eastAsia="Arial" w:cs="Arial"/>
          <w:sz w:val="16"/>
          <w:szCs w:val="16"/>
        </w:rPr>
        <w:t xml:space="preserve"> </w:t>
      </w:r>
    </w:p>
    <w:p w14:paraId="60C8876F" w14:textId="1DB92036" w:rsidR="000C531B" w:rsidRPr="0075232D" w:rsidRDefault="52018E13" w:rsidP="00DB1073">
      <w:pPr>
        <w:pBdr>
          <w:left w:val="single" w:sz="4" w:space="1" w:color="auto"/>
        </w:pBdr>
        <w:tabs>
          <w:tab w:val="num" w:pos="3600"/>
        </w:tabs>
        <w:autoSpaceDE w:val="0"/>
        <w:autoSpaceDN w:val="0"/>
        <w:adjustRightInd w:val="0"/>
        <w:rPr>
          <w:rFonts w:eastAsia="Arial" w:cs="Arial"/>
          <w:sz w:val="16"/>
          <w:szCs w:val="16"/>
        </w:rPr>
      </w:pPr>
      <w:r w:rsidRPr="4C06314D">
        <w:rPr>
          <w:rFonts w:eastAsia="Arial" w:cs="Arial"/>
          <w:sz w:val="16"/>
          <w:szCs w:val="16"/>
        </w:rPr>
        <w:t>1.</w:t>
      </w:r>
      <w:r w:rsidR="00EB0C8C">
        <w:rPr>
          <w:rFonts w:eastAsia="Arial" w:cs="Arial"/>
          <w:sz w:val="16"/>
          <w:szCs w:val="16"/>
        </w:rPr>
        <w:t>1</w:t>
      </w:r>
      <w:r w:rsidR="009E04F0">
        <w:rPr>
          <w:rFonts w:eastAsia="Arial" w:cs="Arial"/>
          <w:sz w:val="16"/>
          <w:szCs w:val="16"/>
        </w:rPr>
        <w:t>2</w:t>
      </w:r>
      <w:r w:rsidRPr="4C06314D">
        <w:rPr>
          <w:rFonts w:eastAsia="Arial" w:cs="Arial"/>
          <w:sz w:val="16"/>
          <w:szCs w:val="16"/>
        </w:rPr>
        <w:t>.1.</w:t>
      </w:r>
      <w:r w:rsidR="000C531B" w:rsidRPr="4C06314D">
        <w:rPr>
          <w:rFonts w:eastAsia="Arial" w:cs="Arial"/>
          <w:sz w:val="16"/>
          <w:szCs w:val="16"/>
        </w:rPr>
        <w:t>3. Periodicidad de control</w:t>
      </w:r>
      <w:r w:rsidR="007F5F09">
        <w:rPr>
          <w:rFonts w:eastAsia="Arial" w:cs="Arial"/>
          <w:sz w:val="16"/>
          <w:szCs w:val="16"/>
        </w:rPr>
        <w:t>.</w:t>
      </w:r>
    </w:p>
    <w:p w14:paraId="7F1E02C3" w14:textId="62158132" w:rsidR="000C531B" w:rsidRPr="0075232D" w:rsidRDefault="7C30E79D" w:rsidP="00DB1073">
      <w:pPr>
        <w:pBdr>
          <w:left w:val="single" w:sz="4" w:space="1" w:color="auto"/>
        </w:pBdr>
        <w:tabs>
          <w:tab w:val="num" w:pos="3600"/>
        </w:tabs>
        <w:autoSpaceDE w:val="0"/>
        <w:autoSpaceDN w:val="0"/>
        <w:adjustRightInd w:val="0"/>
        <w:rPr>
          <w:rFonts w:eastAsia="Arial" w:cs="Arial"/>
          <w:sz w:val="16"/>
          <w:szCs w:val="16"/>
        </w:rPr>
      </w:pPr>
      <w:r w:rsidRPr="4C06314D">
        <w:rPr>
          <w:rFonts w:eastAsia="Arial" w:cs="Arial"/>
          <w:sz w:val="16"/>
          <w:szCs w:val="16"/>
        </w:rPr>
        <w:t>1.</w:t>
      </w:r>
      <w:r w:rsidR="00EB0C8C">
        <w:rPr>
          <w:rFonts w:eastAsia="Arial" w:cs="Arial"/>
          <w:sz w:val="16"/>
          <w:szCs w:val="16"/>
        </w:rPr>
        <w:t>1</w:t>
      </w:r>
      <w:r w:rsidR="009E04F0">
        <w:rPr>
          <w:rFonts w:eastAsia="Arial" w:cs="Arial"/>
          <w:sz w:val="16"/>
          <w:szCs w:val="16"/>
        </w:rPr>
        <w:t>2</w:t>
      </w:r>
      <w:r w:rsidRPr="4C06314D">
        <w:rPr>
          <w:rFonts w:eastAsia="Arial" w:cs="Arial"/>
          <w:sz w:val="16"/>
          <w:szCs w:val="16"/>
        </w:rPr>
        <w:t>.1.</w:t>
      </w:r>
      <w:r w:rsidR="000C531B" w:rsidRPr="4C06314D">
        <w:rPr>
          <w:rFonts w:eastAsia="Arial" w:cs="Arial"/>
          <w:sz w:val="16"/>
          <w:szCs w:val="16"/>
        </w:rPr>
        <w:t>4. Órganos receptores de los resultados de medición y control</w:t>
      </w:r>
      <w:r w:rsidR="007F5F09">
        <w:rPr>
          <w:rFonts w:eastAsia="Arial" w:cs="Arial"/>
          <w:sz w:val="16"/>
          <w:szCs w:val="16"/>
        </w:rPr>
        <w:t>.</w:t>
      </w:r>
    </w:p>
    <w:p w14:paraId="7AC3B857" w14:textId="6E0A433D" w:rsidR="000C531B" w:rsidRPr="0075232D" w:rsidRDefault="5E6F31F9" w:rsidP="00DB1073">
      <w:pPr>
        <w:pBdr>
          <w:left w:val="single" w:sz="4" w:space="1" w:color="auto"/>
        </w:pBdr>
        <w:tabs>
          <w:tab w:val="num" w:pos="3600"/>
        </w:tabs>
        <w:autoSpaceDE w:val="0"/>
        <w:autoSpaceDN w:val="0"/>
        <w:adjustRightInd w:val="0"/>
        <w:rPr>
          <w:rFonts w:eastAsia="Arial" w:cs="Arial"/>
          <w:sz w:val="16"/>
          <w:szCs w:val="16"/>
        </w:rPr>
      </w:pPr>
      <w:r w:rsidRPr="4C06314D">
        <w:rPr>
          <w:rFonts w:eastAsia="Arial" w:cs="Arial"/>
          <w:sz w:val="16"/>
          <w:szCs w:val="16"/>
        </w:rPr>
        <w:t>1.</w:t>
      </w:r>
      <w:r w:rsidR="00EB0C8C">
        <w:rPr>
          <w:rFonts w:eastAsia="Arial" w:cs="Arial"/>
          <w:sz w:val="16"/>
          <w:szCs w:val="16"/>
        </w:rPr>
        <w:t>1</w:t>
      </w:r>
      <w:r w:rsidR="009E04F0">
        <w:rPr>
          <w:rFonts w:eastAsia="Arial" w:cs="Arial"/>
          <w:sz w:val="16"/>
          <w:szCs w:val="16"/>
        </w:rPr>
        <w:t>2</w:t>
      </w:r>
      <w:r w:rsidRPr="4C06314D">
        <w:rPr>
          <w:rFonts w:eastAsia="Arial" w:cs="Arial"/>
          <w:sz w:val="16"/>
          <w:szCs w:val="16"/>
        </w:rPr>
        <w:t>.1.</w:t>
      </w:r>
      <w:r w:rsidR="000C531B" w:rsidRPr="4C06314D">
        <w:rPr>
          <w:rFonts w:eastAsia="Arial" w:cs="Arial"/>
          <w:sz w:val="16"/>
          <w:szCs w:val="16"/>
        </w:rPr>
        <w:t>5. Procedimientos a seguir en el evento en que se presente un exceso en la exposición a determinado riesgo</w:t>
      </w:r>
      <w:r w:rsidR="007F5F09">
        <w:rPr>
          <w:rFonts w:eastAsia="Arial" w:cs="Arial"/>
          <w:sz w:val="16"/>
          <w:szCs w:val="16"/>
        </w:rPr>
        <w:t>.</w:t>
      </w:r>
    </w:p>
    <w:p w14:paraId="24280FEC" w14:textId="1AC26077" w:rsidR="447127BA" w:rsidRPr="00D80C84" w:rsidRDefault="7F6E439A" w:rsidP="00DB1073">
      <w:pPr>
        <w:pBdr>
          <w:left w:val="single" w:sz="4" w:space="1" w:color="auto"/>
        </w:pBdr>
        <w:tabs>
          <w:tab w:val="num" w:pos="3600"/>
        </w:tabs>
        <w:rPr>
          <w:rFonts w:eastAsia="Arial" w:cs="Arial"/>
          <w:sz w:val="16"/>
          <w:szCs w:val="16"/>
        </w:rPr>
      </w:pPr>
      <w:r w:rsidRPr="00D80C84">
        <w:rPr>
          <w:rFonts w:eastAsia="Arial" w:cs="Arial"/>
          <w:sz w:val="16"/>
          <w:szCs w:val="16"/>
        </w:rPr>
        <w:t>1.</w:t>
      </w:r>
      <w:r w:rsidR="00EB0C8C">
        <w:rPr>
          <w:rFonts w:eastAsia="Arial" w:cs="Arial"/>
          <w:sz w:val="16"/>
          <w:szCs w:val="16"/>
        </w:rPr>
        <w:t>1</w:t>
      </w:r>
      <w:r w:rsidR="009E04F0">
        <w:rPr>
          <w:rFonts w:eastAsia="Arial" w:cs="Arial"/>
          <w:sz w:val="16"/>
          <w:szCs w:val="16"/>
        </w:rPr>
        <w:t>2</w:t>
      </w:r>
      <w:r w:rsidRPr="00D80C84">
        <w:rPr>
          <w:rFonts w:eastAsia="Arial" w:cs="Arial"/>
          <w:sz w:val="16"/>
          <w:szCs w:val="16"/>
        </w:rPr>
        <w:t>.1.6. Criterios utilizados para la selección de las contrapartes en la negociación de inversiones.</w:t>
      </w:r>
    </w:p>
    <w:p w14:paraId="4F904CB7" w14:textId="77777777" w:rsidR="000C531B" w:rsidRPr="001B0E60" w:rsidRDefault="000C531B" w:rsidP="00DB1073">
      <w:pPr>
        <w:pBdr>
          <w:left w:val="single" w:sz="4" w:space="1" w:color="auto"/>
        </w:pBdr>
        <w:tabs>
          <w:tab w:val="num" w:pos="720"/>
        </w:tabs>
        <w:autoSpaceDE w:val="0"/>
        <w:autoSpaceDN w:val="0"/>
        <w:adjustRightInd w:val="0"/>
        <w:ind w:left="720" w:hanging="720"/>
        <w:rPr>
          <w:rFonts w:cs="Arial"/>
          <w:sz w:val="14"/>
          <w:szCs w:val="14"/>
          <w:highlight w:val="yellow"/>
        </w:rPr>
      </w:pPr>
    </w:p>
    <w:p w14:paraId="7040C106" w14:textId="243F9326" w:rsidR="000C531B" w:rsidRPr="0075232D" w:rsidRDefault="000C531B" w:rsidP="00DB1073">
      <w:pPr>
        <w:pBdr>
          <w:left w:val="single" w:sz="4" w:space="1" w:color="auto"/>
        </w:pBdr>
        <w:autoSpaceDE w:val="0"/>
        <w:autoSpaceDN w:val="0"/>
        <w:adjustRightInd w:val="0"/>
        <w:rPr>
          <w:rFonts w:cs="Arial"/>
          <w:sz w:val="16"/>
          <w:szCs w:val="16"/>
        </w:rPr>
      </w:pPr>
      <w:r w:rsidRPr="4C06314D">
        <w:rPr>
          <w:rFonts w:cs="Arial"/>
          <w:sz w:val="16"/>
          <w:szCs w:val="16"/>
        </w:rPr>
        <w:t>1.</w:t>
      </w:r>
      <w:r w:rsidR="006A20AF">
        <w:rPr>
          <w:rFonts w:cs="Arial"/>
          <w:sz w:val="16"/>
          <w:szCs w:val="16"/>
        </w:rPr>
        <w:t>1</w:t>
      </w:r>
      <w:r w:rsidR="009E04F0">
        <w:rPr>
          <w:rFonts w:cs="Arial"/>
          <w:sz w:val="16"/>
          <w:szCs w:val="16"/>
        </w:rPr>
        <w:t>3</w:t>
      </w:r>
      <w:r w:rsidRPr="4C06314D">
        <w:rPr>
          <w:rFonts w:cs="Arial"/>
          <w:sz w:val="16"/>
          <w:szCs w:val="16"/>
        </w:rPr>
        <w:t>. Gestión de los potenciales conflictos de interés en el proceso de inversiones, en donde se indique por lo menos:</w:t>
      </w:r>
    </w:p>
    <w:p w14:paraId="06971CD3" w14:textId="77777777" w:rsidR="000C531B" w:rsidRPr="001B0E60" w:rsidRDefault="000C531B" w:rsidP="00DB1073">
      <w:pPr>
        <w:pBdr>
          <w:left w:val="single" w:sz="4" w:space="1" w:color="auto"/>
        </w:pBdr>
        <w:tabs>
          <w:tab w:val="num" w:pos="720"/>
        </w:tabs>
        <w:autoSpaceDE w:val="0"/>
        <w:autoSpaceDN w:val="0"/>
        <w:adjustRightInd w:val="0"/>
        <w:ind w:left="720" w:hanging="720"/>
        <w:rPr>
          <w:rFonts w:cs="Arial"/>
          <w:sz w:val="14"/>
          <w:szCs w:val="16"/>
        </w:rPr>
      </w:pPr>
    </w:p>
    <w:p w14:paraId="70960757" w14:textId="35FCD3A0" w:rsidR="000C531B" w:rsidRPr="0075232D" w:rsidRDefault="000C531B" w:rsidP="00DB1073">
      <w:pPr>
        <w:pBdr>
          <w:left w:val="single" w:sz="4" w:space="1" w:color="auto"/>
        </w:pBdr>
        <w:autoSpaceDE w:val="0"/>
        <w:autoSpaceDN w:val="0"/>
        <w:adjustRightInd w:val="0"/>
        <w:rPr>
          <w:rFonts w:cs="Arial"/>
          <w:sz w:val="16"/>
          <w:szCs w:val="16"/>
        </w:rPr>
      </w:pPr>
      <w:r w:rsidRPr="4C06314D">
        <w:rPr>
          <w:rFonts w:cs="Arial"/>
          <w:sz w:val="16"/>
          <w:szCs w:val="16"/>
        </w:rPr>
        <w:t>1.</w:t>
      </w:r>
      <w:r w:rsidR="006A20AF">
        <w:rPr>
          <w:rFonts w:cs="Arial"/>
          <w:sz w:val="16"/>
          <w:szCs w:val="16"/>
        </w:rPr>
        <w:t>1</w:t>
      </w:r>
      <w:r w:rsidR="009E04F0">
        <w:rPr>
          <w:rFonts w:cs="Arial"/>
          <w:sz w:val="16"/>
          <w:szCs w:val="16"/>
        </w:rPr>
        <w:t>3</w:t>
      </w:r>
      <w:r w:rsidRPr="4C06314D">
        <w:rPr>
          <w:rFonts w:cs="Arial"/>
          <w:sz w:val="16"/>
          <w:szCs w:val="16"/>
        </w:rPr>
        <w:t xml:space="preserve">.1. Definición e identificación de situaciones generales que pueden generar conflictos de </w:t>
      </w:r>
      <w:bookmarkStart w:id="4" w:name="_Hlk67503580"/>
      <w:r w:rsidRPr="4C06314D">
        <w:rPr>
          <w:rFonts w:cs="Arial"/>
          <w:sz w:val="16"/>
          <w:szCs w:val="16"/>
        </w:rPr>
        <w:t>interés</w:t>
      </w:r>
      <w:r w:rsidR="00FC38A0">
        <w:rPr>
          <w:rFonts w:cs="Arial"/>
          <w:sz w:val="16"/>
          <w:szCs w:val="16"/>
        </w:rPr>
        <w:t>, incluyendo aquellos que se presenten en el proceso de selección y negociación de inversiones</w:t>
      </w:r>
      <w:r w:rsidR="21D6E67B" w:rsidRPr="11CCC3B5">
        <w:rPr>
          <w:rFonts w:cs="Arial"/>
          <w:sz w:val="16"/>
          <w:szCs w:val="16"/>
        </w:rPr>
        <w:t>.</w:t>
      </w:r>
      <w:bookmarkEnd w:id="4"/>
    </w:p>
    <w:p w14:paraId="77006025" w14:textId="3F4F6B28" w:rsidR="000C531B" w:rsidRDefault="000C531B" w:rsidP="00DB1073">
      <w:pPr>
        <w:pBdr>
          <w:left w:val="single" w:sz="4" w:space="1" w:color="auto"/>
        </w:pBdr>
        <w:rPr>
          <w:rFonts w:cs="Arial"/>
          <w:sz w:val="16"/>
          <w:szCs w:val="16"/>
        </w:rPr>
      </w:pPr>
      <w:r w:rsidRPr="4C06314D">
        <w:rPr>
          <w:rFonts w:cs="Arial"/>
          <w:sz w:val="16"/>
          <w:szCs w:val="16"/>
        </w:rPr>
        <w:t>1.</w:t>
      </w:r>
      <w:r w:rsidR="006A20AF">
        <w:rPr>
          <w:rFonts w:cs="Arial"/>
          <w:sz w:val="16"/>
          <w:szCs w:val="16"/>
        </w:rPr>
        <w:t>1</w:t>
      </w:r>
      <w:r w:rsidR="009E04F0">
        <w:rPr>
          <w:rFonts w:cs="Arial"/>
          <w:sz w:val="16"/>
          <w:szCs w:val="16"/>
        </w:rPr>
        <w:t>3</w:t>
      </w:r>
      <w:r w:rsidRPr="4C06314D">
        <w:rPr>
          <w:rFonts w:cs="Arial"/>
          <w:sz w:val="16"/>
          <w:szCs w:val="16"/>
        </w:rPr>
        <w:t>.2. Procedimientos para identificar y administrar cualquier operación que pueda dar lugar a conflictos de interés</w:t>
      </w:r>
      <w:r w:rsidR="006A20AF">
        <w:rPr>
          <w:rFonts w:cs="Arial"/>
          <w:sz w:val="16"/>
          <w:szCs w:val="16"/>
        </w:rPr>
        <w:t>.</w:t>
      </w:r>
    </w:p>
    <w:p w14:paraId="69D9FFE0" w14:textId="77777777" w:rsidR="002C2906" w:rsidRDefault="002C2906" w:rsidP="00DB1073">
      <w:pPr>
        <w:pBdr>
          <w:left w:val="single" w:sz="4" w:space="1" w:color="auto"/>
        </w:pBdr>
        <w:autoSpaceDE w:val="0"/>
        <w:autoSpaceDN w:val="0"/>
        <w:adjustRightInd w:val="0"/>
        <w:rPr>
          <w:rFonts w:cs="Arial"/>
          <w:sz w:val="16"/>
          <w:szCs w:val="16"/>
        </w:rPr>
      </w:pPr>
    </w:p>
    <w:p w14:paraId="3B83834C" w14:textId="66442CE0" w:rsidR="009E04F0" w:rsidRDefault="009E04F0" w:rsidP="00DB1073">
      <w:pPr>
        <w:pBdr>
          <w:left w:val="single" w:sz="4" w:space="1" w:color="auto"/>
        </w:pBdr>
        <w:autoSpaceDE w:val="0"/>
        <w:autoSpaceDN w:val="0"/>
        <w:adjustRightInd w:val="0"/>
        <w:rPr>
          <w:rFonts w:cs="Arial"/>
          <w:sz w:val="16"/>
          <w:szCs w:val="16"/>
        </w:rPr>
      </w:pPr>
      <w:r>
        <w:rPr>
          <w:rFonts w:cs="Arial"/>
          <w:sz w:val="16"/>
          <w:szCs w:val="16"/>
        </w:rPr>
        <w:t>1.14. L</w:t>
      </w:r>
      <w:r w:rsidR="00A66B7B" w:rsidRPr="4C06314D">
        <w:rPr>
          <w:rFonts w:cs="Arial"/>
          <w:sz w:val="16"/>
          <w:szCs w:val="16"/>
        </w:rPr>
        <w:t xml:space="preserve">as </w:t>
      </w:r>
      <w:r w:rsidR="00CB301D" w:rsidRPr="4C06314D">
        <w:rPr>
          <w:rFonts w:cs="Arial"/>
          <w:sz w:val="16"/>
          <w:szCs w:val="16"/>
        </w:rPr>
        <w:t xml:space="preserve">entidades aseguradoras </w:t>
      </w:r>
      <w:r w:rsidR="00A66B7B" w:rsidRPr="4C06314D">
        <w:rPr>
          <w:rFonts w:cs="Arial"/>
          <w:sz w:val="16"/>
          <w:szCs w:val="16"/>
        </w:rPr>
        <w:t xml:space="preserve">que hagan parte de un conglomerado financiero deben incluir en </w:t>
      </w:r>
      <w:r>
        <w:rPr>
          <w:rFonts w:cs="Arial"/>
          <w:sz w:val="16"/>
          <w:szCs w:val="16"/>
        </w:rPr>
        <w:t>su política de inversión un capítulo que desarrolle de manera específica lo siguiente:</w:t>
      </w:r>
    </w:p>
    <w:p w14:paraId="1B9F89B1" w14:textId="77777777" w:rsidR="009E04F0" w:rsidRDefault="009E04F0" w:rsidP="00DB1073">
      <w:pPr>
        <w:pBdr>
          <w:left w:val="single" w:sz="4" w:space="1" w:color="auto"/>
        </w:pBdr>
        <w:autoSpaceDE w:val="0"/>
        <w:autoSpaceDN w:val="0"/>
        <w:adjustRightInd w:val="0"/>
        <w:rPr>
          <w:rFonts w:cs="Arial"/>
          <w:sz w:val="16"/>
          <w:szCs w:val="16"/>
        </w:rPr>
      </w:pPr>
    </w:p>
    <w:p w14:paraId="099517CA" w14:textId="1892AF25" w:rsidR="009E04F0" w:rsidRDefault="009E04F0" w:rsidP="00DB1073">
      <w:pPr>
        <w:pBdr>
          <w:left w:val="single" w:sz="4" w:space="1" w:color="auto"/>
        </w:pBdr>
        <w:autoSpaceDE w:val="0"/>
        <w:autoSpaceDN w:val="0"/>
        <w:adjustRightInd w:val="0"/>
        <w:rPr>
          <w:rFonts w:cs="Arial"/>
          <w:sz w:val="16"/>
          <w:szCs w:val="16"/>
        </w:rPr>
      </w:pPr>
      <w:r>
        <w:rPr>
          <w:rFonts w:cs="Arial"/>
          <w:sz w:val="16"/>
          <w:szCs w:val="16"/>
        </w:rPr>
        <w:t xml:space="preserve">1.14.1. Los criterios para la selección y evaluación de las inversiones realizadas en entidades vinculadas o que hagan parte del conglomerado financiero. </w:t>
      </w:r>
    </w:p>
    <w:p w14:paraId="0FDFEB9B" w14:textId="76528E42" w:rsidR="009E04F0" w:rsidRDefault="009E04F0" w:rsidP="00DB1073">
      <w:pPr>
        <w:pBdr>
          <w:left w:val="single" w:sz="4" w:space="1" w:color="auto"/>
        </w:pBdr>
        <w:autoSpaceDE w:val="0"/>
        <w:autoSpaceDN w:val="0"/>
        <w:adjustRightInd w:val="0"/>
        <w:rPr>
          <w:rFonts w:cs="Arial"/>
          <w:sz w:val="16"/>
          <w:szCs w:val="16"/>
        </w:rPr>
      </w:pPr>
      <w:r>
        <w:rPr>
          <w:rFonts w:cs="Arial"/>
          <w:sz w:val="16"/>
          <w:szCs w:val="16"/>
        </w:rPr>
        <w:t>1.14.2. Los criterios para la evaluación de los riesgos inherentes a las inversiones realizadas en entidades vinculadas o que hagan parte del conglomerado financiero.</w:t>
      </w:r>
    </w:p>
    <w:p w14:paraId="18EE0698" w14:textId="42C7C61F" w:rsidR="00A66B7B" w:rsidRPr="00CB301D" w:rsidRDefault="009E04F0" w:rsidP="00DB1073">
      <w:pPr>
        <w:pBdr>
          <w:left w:val="single" w:sz="4" w:space="1" w:color="auto"/>
        </w:pBdr>
        <w:autoSpaceDE w:val="0"/>
        <w:autoSpaceDN w:val="0"/>
        <w:adjustRightInd w:val="0"/>
        <w:rPr>
          <w:rFonts w:cs="Arial"/>
          <w:sz w:val="16"/>
          <w:szCs w:val="16"/>
        </w:rPr>
      </w:pPr>
      <w:r>
        <w:rPr>
          <w:rFonts w:cs="Arial"/>
          <w:sz w:val="16"/>
          <w:szCs w:val="16"/>
        </w:rPr>
        <w:t xml:space="preserve">1.14.3. </w:t>
      </w:r>
      <w:r w:rsidR="0086484F">
        <w:rPr>
          <w:rFonts w:cs="Arial"/>
          <w:sz w:val="16"/>
          <w:szCs w:val="16"/>
          <w:lang w:val="es-CO"/>
        </w:rPr>
        <w:t>Las</w:t>
      </w:r>
      <w:bookmarkStart w:id="5" w:name="_GoBack"/>
      <w:bookmarkEnd w:id="5"/>
      <w:r w:rsidR="00FB5B95" w:rsidRPr="00FB5B95">
        <w:rPr>
          <w:rFonts w:cs="Arial"/>
          <w:sz w:val="16"/>
          <w:szCs w:val="16"/>
          <w:lang w:val="es-CO"/>
        </w:rPr>
        <w:t xml:space="preserve"> directrices generales impartidas por el holding financiero en materia de conflictos de interés, a que se refiere el artículo</w:t>
      </w:r>
      <w:r w:rsidR="00FB5B95" w:rsidRPr="00AC54DE">
        <w:rPr>
          <w:rFonts w:cs="Arial"/>
          <w:b/>
          <w:sz w:val="16"/>
          <w:szCs w:val="16"/>
          <w:lang w:val="es-CO"/>
        </w:rPr>
        <w:t xml:space="preserve"> </w:t>
      </w:r>
      <w:r w:rsidR="00A66B7B" w:rsidRPr="4C06314D">
        <w:rPr>
          <w:rFonts w:cs="Arial"/>
          <w:sz w:val="16"/>
          <w:szCs w:val="16"/>
        </w:rPr>
        <w:t>2.39.3.1.4 del Decreto 2555 de 2010</w:t>
      </w:r>
      <w:r w:rsidR="00212ECA">
        <w:rPr>
          <w:rFonts w:cs="Arial"/>
          <w:sz w:val="16"/>
          <w:szCs w:val="16"/>
        </w:rPr>
        <w:t xml:space="preserve"> </w:t>
      </w:r>
      <w:r w:rsidR="00212ECA" w:rsidRPr="00D72EED">
        <w:rPr>
          <w:rFonts w:cs="Arial"/>
          <w:sz w:val="16"/>
          <w:szCs w:val="16"/>
          <w:lang w:val="es-CO"/>
        </w:rPr>
        <w:t>u otras disposiciones</w:t>
      </w:r>
      <w:r w:rsidR="00A66B7B" w:rsidRPr="4C06314D">
        <w:rPr>
          <w:rFonts w:cs="Arial"/>
          <w:sz w:val="16"/>
          <w:szCs w:val="16"/>
        </w:rPr>
        <w:t>.</w:t>
      </w:r>
    </w:p>
    <w:p w14:paraId="5050D00F" w14:textId="77777777" w:rsidR="00EB258C" w:rsidRDefault="00EB258C" w:rsidP="00DB1073">
      <w:pPr>
        <w:pBdr>
          <w:left w:val="single" w:sz="4" w:space="1" w:color="auto"/>
        </w:pBdr>
        <w:autoSpaceDE w:val="0"/>
        <w:autoSpaceDN w:val="0"/>
        <w:adjustRightInd w:val="0"/>
        <w:rPr>
          <w:rFonts w:cs="Arial"/>
          <w:sz w:val="12"/>
          <w:szCs w:val="12"/>
        </w:rPr>
      </w:pPr>
    </w:p>
    <w:p w14:paraId="63A34AF0" w14:textId="567F907E" w:rsidR="00A66B7B" w:rsidRPr="0075232D" w:rsidRDefault="00A66B7B" w:rsidP="00DB1073">
      <w:pPr>
        <w:pStyle w:val="Ttulo2"/>
        <w:pBdr>
          <w:left w:val="single" w:sz="4" w:space="1" w:color="auto"/>
        </w:pBdr>
        <w:spacing w:before="0" w:after="0"/>
      </w:pPr>
      <w:bookmarkStart w:id="6" w:name="_Toc267211380"/>
      <w:r>
        <w:t>2</w:t>
      </w:r>
      <w:r w:rsidR="612AAEEC">
        <w:t>.</w:t>
      </w:r>
      <w:r>
        <w:t xml:space="preserve"> </w:t>
      </w:r>
      <w:r w:rsidR="00ED35B6">
        <w:t>Composición y f</w:t>
      </w:r>
      <w:r w:rsidR="432EA308">
        <w:t>unciones del c</w:t>
      </w:r>
      <w:r w:rsidR="00E63E81">
        <w:t>omité</w:t>
      </w:r>
      <w:r>
        <w:t xml:space="preserve"> de riesgos </w:t>
      </w:r>
      <w:bookmarkEnd w:id="6"/>
    </w:p>
    <w:p w14:paraId="0A4F7224" w14:textId="77777777" w:rsidR="00A66B7B" w:rsidRPr="00392F65" w:rsidRDefault="00A66B7B" w:rsidP="00DB1073">
      <w:pPr>
        <w:pBdr>
          <w:left w:val="single" w:sz="4" w:space="1" w:color="auto"/>
        </w:pBdr>
        <w:rPr>
          <w:rFonts w:cs="Arial"/>
          <w:b/>
          <w:sz w:val="12"/>
          <w:szCs w:val="16"/>
        </w:rPr>
      </w:pPr>
    </w:p>
    <w:p w14:paraId="41F78465" w14:textId="5C11F48F" w:rsidR="00ED35B6" w:rsidRDefault="00ED35B6" w:rsidP="009E04F0">
      <w:pPr>
        <w:pStyle w:val="NormalWeb"/>
        <w:pBdr>
          <w:left w:val="single" w:sz="4" w:space="1" w:color="auto"/>
        </w:pBdr>
        <w:autoSpaceDE w:val="0"/>
        <w:autoSpaceDN w:val="0"/>
        <w:adjustRightInd w:val="0"/>
        <w:spacing w:before="0" w:beforeAutospacing="0" w:after="0" w:afterAutospacing="0"/>
        <w:jc w:val="both"/>
        <w:rPr>
          <w:rFonts w:ascii="Arial" w:hAnsi="Arial" w:cs="Arial"/>
          <w:color w:val="auto"/>
          <w:sz w:val="16"/>
          <w:szCs w:val="16"/>
        </w:rPr>
      </w:pPr>
      <w:bookmarkStart w:id="7" w:name="_Hlk67417057"/>
      <w:r>
        <w:rPr>
          <w:rFonts w:ascii="Arial" w:hAnsi="Arial" w:cs="Arial"/>
          <w:color w:val="auto"/>
          <w:sz w:val="16"/>
          <w:szCs w:val="16"/>
        </w:rPr>
        <w:t>Para la</w:t>
      </w:r>
      <w:r w:rsidR="009E04F0">
        <w:rPr>
          <w:rFonts w:ascii="Arial" w:hAnsi="Arial" w:cs="Arial"/>
          <w:color w:val="auto"/>
          <w:sz w:val="16"/>
          <w:szCs w:val="16"/>
        </w:rPr>
        <w:t xml:space="preserve"> gestión de sus inversiones</w:t>
      </w:r>
      <w:r>
        <w:rPr>
          <w:rFonts w:ascii="Arial" w:hAnsi="Arial" w:cs="Arial"/>
          <w:color w:val="auto"/>
          <w:sz w:val="16"/>
          <w:szCs w:val="16"/>
        </w:rPr>
        <w:t xml:space="preserve"> las entidades aseguradoras</w:t>
      </w:r>
      <w:r w:rsidR="009E04F0">
        <w:rPr>
          <w:rFonts w:ascii="Arial" w:hAnsi="Arial" w:cs="Arial"/>
          <w:color w:val="auto"/>
          <w:sz w:val="16"/>
          <w:szCs w:val="16"/>
        </w:rPr>
        <w:t xml:space="preserve"> deben contar con un comité de riesgos conformado por un número plural e impar de miembros</w:t>
      </w:r>
      <w:r>
        <w:rPr>
          <w:rFonts w:ascii="Arial" w:hAnsi="Arial" w:cs="Arial"/>
          <w:color w:val="auto"/>
          <w:sz w:val="16"/>
          <w:szCs w:val="16"/>
        </w:rPr>
        <w:t xml:space="preserve"> designados por la junta directiva. El comité debe ser</w:t>
      </w:r>
      <w:r w:rsidR="009E04F0">
        <w:rPr>
          <w:rFonts w:ascii="Arial" w:hAnsi="Arial" w:cs="Arial"/>
          <w:color w:val="auto"/>
          <w:sz w:val="16"/>
          <w:szCs w:val="16"/>
        </w:rPr>
        <w:t xml:space="preserve"> </w:t>
      </w:r>
      <w:r w:rsidR="009E04F0" w:rsidRPr="009E04F0">
        <w:rPr>
          <w:rFonts w:ascii="Arial" w:hAnsi="Arial" w:cs="Arial"/>
          <w:color w:val="auto"/>
          <w:sz w:val="16"/>
          <w:szCs w:val="16"/>
        </w:rPr>
        <w:t>funcional y organizacionalmente independiente de las unidades de negocio y demás áreas que podrían generar conflictos de interés</w:t>
      </w:r>
      <w:r w:rsidR="009E04F0">
        <w:rPr>
          <w:rFonts w:ascii="Arial" w:hAnsi="Arial" w:cs="Arial"/>
          <w:color w:val="auto"/>
          <w:sz w:val="16"/>
          <w:szCs w:val="16"/>
        </w:rPr>
        <w:t>.</w:t>
      </w:r>
      <w:r>
        <w:rPr>
          <w:rFonts w:ascii="Arial" w:hAnsi="Arial" w:cs="Arial"/>
          <w:color w:val="auto"/>
          <w:sz w:val="16"/>
          <w:szCs w:val="16"/>
        </w:rPr>
        <w:t xml:space="preserve"> En la composición del comité de riesgos las juntas directivas de las entidades aseguradoras podrán designar miembros independientes a la </w:t>
      </w:r>
      <w:r w:rsidR="00322504">
        <w:rPr>
          <w:rFonts w:ascii="Arial" w:hAnsi="Arial" w:cs="Arial"/>
          <w:color w:val="auto"/>
          <w:sz w:val="16"/>
          <w:szCs w:val="16"/>
        </w:rPr>
        <w:t>entidad</w:t>
      </w:r>
      <w:r>
        <w:rPr>
          <w:rFonts w:ascii="Arial" w:hAnsi="Arial" w:cs="Arial"/>
          <w:color w:val="auto"/>
          <w:sz w:val="16"/>
          <w:szCs w:val="16"/>
        </w:rPr>
        <w:t>. En caso de no contemplar la participación de miembros independientes, debe</w:t>
      </w:r>
      <w:r w:rsidR="002841BF">
        <w:rPr>
          <w:rFonts w:ascii="Arial" w:hAnsi="Arial" w:cs="Arial"/>
          <w:color w:val="auto"/>
          <w:sz w:val="16"/>
          <w:szCs w:val="16"/>
        </w:rPr>
        <w:t>n</w:t>
      </w:r>
      <w:r>
        <w:rPr>
          <w:rFonts w:ascii="Arial" w:hAnsi="Arial" w:cs="Arial"/>
          <w:color w:val="auto"/>
          <w:sz w:val="16"/>
          <w:szCs w:val="16"/>
        </w:rPr>
        <w:t xml:space="preserve"> explicarse los motivos de la decisión.</w:t>
      </w:r>
    </w:p>
    <w:p w14:paraId="1F1F8759" w14:textId="77777777" w:rsidR="00ED35B6" w:rsidRDefault="00ED35B6" w:rsidP="009E04F0">
      <w:pPr>
        <w:pStyle w:val="NormalWeb"/>
        <w:pBdr>
          <w:left w:val="single" w:sz="4" w:space="1" w:color="auto"/>
        </w:pBdr>
        <w:autoSpaceDE w:val="0"/>
        <w:autoSpaceDN w:val="0"/>
        <w:adjustRightInd w:val="0"/>
        <w:spacing w:before="0" w:beforeAutospacing="0" w:after="0" w:afterAutospacing="0"/>
        <w:jc w:val="both"/>
        <w:rPr>
          <w:rFonts w:ascii="Arial" w:hAnsi="Arial" w:cs="Arial"/>
          <w:color w:val="auto"/>
          <w:sz w:val="16"/>
          <w:szCs w:val="16"/>
        </w:rPr>
      </w:pPr>
    </w:p>
    <w:p w14:paraId="4E21A28D" w14:textId="77777777" w:rsidR="00ED35B6" w:rsidRDefault="009E04F0" w:rsidP="009E04F0">
      <w:pPr>
        <w:pStyle w:val="NormalWeb"/>
        <w:pBdr>
          <w:left w:val="single" w:sz="4" w:space="1" w:color="auto"/>
        </w:pBdr>
        <w:autoSpaceDE w:val="0"/>
        <w:autoSpaceDN w:val="0"/>
        <w:adjustRightInd w:val="0"/>
        <w:spacing w:before="0" w:beforeAutospacing="0" w:after="0" w:afterAutospacing="0"/>
        <w:jc w:val="both"/>
        <w:rPr>
          <w:rFonts w:ascii="Arial" w:hAnsi="Arial" w:cs="Arial"/>
          <w:color w:val="auto"/>
          <w:sz w:val="16"/>
          <w:szCs w:val="16"/>
        </w:rPr>
      </w:pPr>
      <w:r w:rsidRPr="04B57DB5">
        <w:rPr>
          <w:rFonts w:ascii="Arial" w:hAnsi="Arial" w:cs="Arial"/>
          <w:color w:val="auto"/>
          <w:sz w:val="16"/>
          <w:szCs w:val="16"/>
        </w:rPr>
        <w:t xml:space="preserve">En relación con la administración de las inversiones, el comité de riesgos tiene bajo su responsabilidad definir las clases de activos a invertir, establecer las condiciones que deben cumplir los títulos y/o valores y los emisores de las inversiones u operaciones que se pueden realizar, analizar, evaluar y decidir sobre la administración de los riesgos inherentes a la actividad de inversión, tales como riesgo de mercado, de liquidez, de contraparte, de crédito, de lavado de activos, </w:t>
      </w:r>
      <w:r w:rsidRPr="73377CA0">
        <w:rPr>
          <w:rFonts w:ascii="Arial" w:hAnsi="Arial" w:cs="Arial"/>
          <w:color w:val="auto"/>
          <w:sz w:val="16"/>
          <w:szCs w:val="16"/>
        </w:rPr>
        <w:t>operacional</w:t>
      </w:r>
      <w:r w:rsidRPr="04B57DB5">
        <w:rPr>
          <w:rFonts w:ascii="Arial" w:hAnsi="Arial" w:cs="Arial"/>
          <w:color w:val="auto"/>
          <w:sz w:val="16"/>
          <w:szCs w:val="16"/>
        </w:rPr>
        <w:t xml:space="preserve"> y conflictos de inter</w:t>
      </w:r>
      <w:r>
        <w:rPr>
          <w:rFonts w:ascii="Arial" w:hAnsi="Arial" w:cs="Arial"/>
          <w:color w:val="auto"/>
          <w:sz w:val="16"/>
          <w:szCs w:val="16"/>
        </w:rPr>
        <w:t>é</w:t>
      </w:r>
      <w:r w:rsidRPr="04B57DB5">
        <w:rPr>
          <w:rFonts w:ascii="Arial" w:hAnsi="Arial" w:cs="Arial"/>
          <w:color w:val="auto"/>
          <w:sz w:val="16"/>
          <w:szCs w:val="16"/>
        </w:rPr>
        <w:t>s.</w:t>
      </w:r>
    </w:p>
    <w:p w14:paraId="0EC2406F" w14:textId="77777777" w:rsidR="00ED35B6" w:rsidRDefault="00ED35B6" w:rsidP="009E04F0">
      <w:pPr>
        <w:pStyle w:val="NormalWeb"/>
        <w:pBdr>
          <w:left w:val="single" w:sz="4" w:space="1" w:color="auto"/>
        </w:pBdr>
        <w:autoSpaceDE w:val="0"/>
        <w:autoSpaceDN w:val="0"/>
        <w:adjustRightInd w:val="0"/>
        <w:spacing w:before="0" w:beforeAutospacing="0" w:after="0" w:afterAutospacing="0"/>
        <w:jc w:val="both"/>
        <w:rPr>
          <w:rFonts w:ascii="Arial" w:hAnsi="Arial" w:cs="Arial"/>
          <w:color w:val="auto"/>
          <w:sz w:val="16"/>
          <w:szCs w:val="16"/>
        </w:rPr>
      </w:pPr>
    </w:p>
    <w:p w14:paraId="1F20AE43" w14:textId="6B92AFE5" w:rsidR="00ED35B6" w:rsidRDefault="009E04F0" w:rsidP="009E04F0">
      <w:pPr>
        <w:pStyle w:val="NormalWeb"/>
        <w:pBdr>
          <w:left w:val="single" w:sz="4" w:space="1" w:color="auto"/>
        </w:pBdr>
        <w:autoSpaceDE w:val="0"/>
        <w:autoSpaceDN w:val="0"/>
        <w:adjustRightInd w:val="0"/>
        <w:spacing w:before="0" w:beforeAutospacing="0" w:after="0" w:afterAutospacing="0"/>
        <w:jc w:val="both"/>
        <w:rPr>
          <w:rFonts w:ascii="Arial" w:hAnsi="Arial" w:cs="Arial"/>
          <w:color w:val="auto"/>
          <w:sz w:val="16"/>
          <w:szCs w:val="16"/>
        </w:rPr>
      </w:pPr>
      <w:r>
        <w:rPr>
          <w:rFonts w:ascii="Arial" w:hAnsi="Arial" w:cs="Arial"/>
          <w:color w:val="auto"/>
          <w:sz w:val="16"/>
          <w:szCs w:val="16"/>
        </w:rPr>
        <w:t>Para el cumplimiento de sus funciones e</w:t>
      </w:r>
      <w:r w:rsidR="00935735">
        <w:rPr>
          <w:rFonts w:ascii="Arial" w:hAnsi="Arial" w:cs="Arial"/>
          <w:color w:val="auto"/>
          <w:sz w:val="16"/>
          <w:szCs w:val="16"/>
        </w:rPr>
        <w:t>ste</w:t>
      </w:r>
      <w:r>
        <w:rPr>
          <w:rFonts w:ascii="Arial" w:hAnsi="Arial" w:cs="Arial"/>
          <w:color w:val="auto"/>
          <w:sz w:val="16"/>
          <w:szCs w:val="16"/>
        </w:rPr>
        <w:t xml:space="preserve"> comité de riesgos </w:t>
      </w:r>
      <w:r w:rsidRPr="009E04F0">
        <w:rPr>
          <w:rFonts w:ascii="Arial" w:hAnsi="Arial" w:cs="Arial"/>
          <w:color w:val="auto"/>
          <w:sz w:val="16"/>
          <w:szCs w:val="16"/>
        </w:rPr>
        <w:t xml:space="preserve">debe: (i) tener acceso directo a la </w:t>
      </w:r>
      <w:r w:rsidR="00B83C76">
        <w:rPr>
          <w:rFonts w:ascii="Arial" w:hAnsi="Arial" w:cs="Arial"/>
          <w:color w:val="auto"/>
          <w:sz w:val="16"/>
          <w:szCs w:val="16"/>
        </w:rPr>
        <w:t>junta directiva</w:t>
      </w:r>
      <w:r w:rsidRPr="009E04F0">
        <w:rPr>
          <w:rFonts w:ascii="Arial" w:hAnsi="Arial" w:cs="Arial"/>
          <w:color w:val="auto"/>
          <w:sz w:val="16"/>
          <w:szCs w:val="16"/>
        </w:rPr>
        <w:t>, a</w:t>
      </w:r>
      <w:r w:rsidR="009731E2">
        <w:rPr>
          <w:rFonts w:ascii="Arial" w:hAnsi="Arial" w:cs="Arial"/>
          <w:color w:val="auto"/>
          <w:sz w:val="16"/>
          <w:szCs w:val="16"/>
        </w:rPr>
        <w:t xml:space="preserve"> </w:t>
      </w:r>
      <w:r w:rsidRPr="009E04F0">
        <w:rPr>
          <w:rFonts w:ascii="Arial" w:hAnsi="Arial" w:cs="Arial"/>
          <w:color w:val="auto"/>
          <w:sz w:val="16"/>
          <w:szCs w:val="16"/>
        </w:rPr>
        <w:t>l</w:t>
      </w:r>
      <w:r w:rsidR="009731E2">
        <w:rPr>
          <w:rFonts w:ascii="Arial" w:hAnsi="Arial" w:cs="Arial"/>
          <w:color w:val="auto"/>
          <w:sz w:val="16"/>
          <w:szCs w:val="16"/>
        </w:rPr>
        <w:t>os</w:t>
      </w:r>
      <w:r w:rsidRPr="009E04F0">
        <w:rPr>
          <w:rFonts w:ascii="Arial" w:hAnsi="Arial" w:cs="Arial"/>
          <w:color w:val="auto"/>
          <w:sz w:val="16"/>
          <w:szCs w:val="16"/>
        </w:rPr>
        <w:t xml:space="preserve"> representante</w:t>
      </w:r>
      <w:r w:rsidR="009731E2">
        <w:rPr>
          <w:rFonts w:ascii="Arial" w:hAnsi="Arial" w:cs="Arial"/>
          <w:color w:val="auto"/>
          <w:sz w:val="16"/>
          <w:szCs w:val="16"/>
        </w:rPr>
        <w:t>s</w:t>
      </w:r>
      <w:r w:rsidRPr="009E04F0">
        <w:rPr>
          <w:rFonts w:ascii="Arial" w:hAnsi="Arial" w:cs="Arial"/>
          <w:color w:val="auto"/>
          <w:sz w:val="16"/>
          <w:szCs w:val="16"/>
        </w:rPr>
        <w:t xml:space="preserve"> legal</w:t>
      </w:r>
      <w:r w:rsidR="009731E2">
        <w:rPr>
          <w:rFonts w:ascii="Arial" w:hAnsi="Arial" w:cs="Arial"/>
          <w:color w:val="auto"/>
          <w:sz w:val="16"/>
          <w:szCs w:val="16"/>
        </w:rPr>
        <w:t>es</w:t>
      </w:r>
      <w:r w:rsidRPr="009E04F0">
        <w:rPr>
          <w:rFonts w:ascii="Arial" w:hAnsi="Arial" w:cs="Arial"/>
          <w:color w:val="auto"/>
          <w:sz w:val="16"/>
          <w:szCs w:val="16"/>
        </w:rPr>
        <w:t>, a las unidades de negocio y demás dependencias de la entidad, así como a sus registros e información, y (</w:t>
      </w:r>
      <w:proofErr w:type="spellStart"/>
      <w:r w:rsidRPr="009E04F0">
        <w:rPr>
          <w:rFonts w:ascii="Arial" w:hAnsi="Arial" w:cs="Arial"/>
          <w:color w:val="auto"/>
          <w:sz w:val="16"/>
          <w:szCs w:val="16"/>
        </w:rPr>
        <w:t>ii</w:t>
      </w:r>
      <w:proofErr w:type="spellEnd"/>
      <w:r w:rsidRPr="009E04F0">
        <w:rPr>
          <w:rFonts w:ascii="Arial" w:hAnsi="Arial" w:cs="Arial"/>
          <w:color w:val="auto"/>
          <w:sz w:val="16"/>
          <w:szCs w:val="16"/>
        </w:rPr>
        <w:t>) contar con el nivel jerárquico, el poder de decisión y la autoridad suficiente para cumplir con sus funciones y responsabilidades y para hacer recomendaciones y seguimiento a las medidas tomadas por la administración</w:t>
      </w:r>
      <w:r w:rsidR="004B6F0A">
        <w:rPr>
          <w:rFonts w:ascii="Arial" w:hAnsi="Arial" w:cs="Arial"/>
          <w:color w:val="auto"/>
          <w:sz w:val="16"/>
          <w:szCs w:val="16"/>
        </w:rPr>
        <w:t>,</w:t>
      </w:r>
      <w:r w:rsidRPr="009E04F0">
        <w:rPr>
          <w:rFonts w:ascii="Arial" w:hAnsi="Arial" w:cs="Arial"/>
          <w:color w:val="auto"/>
          <w:sz w:val="16"/>
          <w:szCs w:val="16"/>
        </w:rPr>
        <w:t xml:space="preserve"> en respuesta a </w:t>
      </w:r>
      <w:r w:rsidR="00ED35B6">
        <w:rPr>
          <w:rFonts w:ascii="Arial" w:hAnsi="Arial" w:cs="Arial"/>
          <w:color w:val="auto"/>
          <w:sz w:val="16"/>
          <w:szCs w:val="16"/>
        </w:rPr>
        <w:t>las circunstancias</w:t>
      </w:r>
      <w:r w:rsidRPr="009E04F0">
        <w:rPr>
          <w:rFonts w:ascii="Arial" w:hAnsi="Arial" w:cs="Arial"/>
          <w:color w:val="auto"/>
          <w:sz w:val="16"/>
          <w:szCs w:val="16"/>
        </w:rPr>
        <w:t xml:space="preserve"> y oportunidades de mejora identificad</w:t>
      </w:r>
      <w:r w:rsidR="004B6F0A">
        <w:rPr>
          <w:rFonts w:ascii="Arial" w:hAnsi="Arial" w:cs="Arial"/>
          <w:color w:val="auto"/>
          <w:sz w:val="16"/>
          <w:szCs w:val="16"/>
        </w:rPr>
        <w:t>a</w:t>
      </w:r>
      <w:r w:rsidRPr="009E04F0">
        <w:rPr>
          <w:rFonts w:ascii="Arial" w:hAnsi="Arial" w:cs="Arial"/>
          <w:color w:val="auto"/>
          <w:sz w:val="16"/>
          <w:szCs w:val="16"/>
        </w:rPr>
        <w:t>s.</w:t>
      </w:r>
    </w:p>
    <w:p w14:paraId="363C635B" w14:textId="77777777" w:rsidR="00ED35B6" w:rsidRDefault="00ED35B6" w:rsidP="009E04F0">
      <w:pPr>
        <w:pStyle w:val="NormalWeb"/>
        <w:pBdr>
          <w:left w:val="single" w:sz="4" w:space="1" w:color="auto"/>
        </w:pBdr>
        <w:autoSpaceDE w:val="0"/>
        <w:autoSpaceDN w:val="0"/>
        <w:adjustRightInd w:val="0"/>
        <w:spacing w:before="0" w:beforeAutospacing="0" w:after="0" w:afterAutospacing="0"/>
        <w:jc w:val="both"/>
        <w:rPr>
          <w:rFonts w:ascii="Arial" w:hAnsi="Arial" w:cs="Arial"/>
          <w:color w:val="auto"/>
          <w:sz w:val="16"/>
          <w:szCs w:val="16"/>
        </w:rPr>
      </w:pPr>
    </w:p>
    <w:p w14:paraId="236D220F" w14:textId="581C2A93" w:rsidR="009E04F0" w:rsidRDefault="009E04F0" w:rsidP="009E04F0">
      <w:pPr>
        <w:pStyle w:val="NormalWeb"/>
        <w:pBdr>
          <w:left w:val="single" w:sz="4" w:space="1" w:color="auto"/>
        </w:pBdr>
        <w:autoSpaceDE w:val="0"/>
        <w:autoSpaceDN w:val="0"/>
        <w:adjustRightInd w:val="0"/>
        <w:spacing w:before="0" w:beforeAutospacing="0" w:after="0" w:afterAutospacing="0"/>
        <w:jc w:val="both"/>
        <w:rPr>
          <w:rFonts w:ascii="Arial" w:hAnsi="Arial" w:cs="Arial"/>
          <w:color w:val="auto"/>
          <w:sz w:val="16"/>
          <w:szCs w:val="16"/>
        </w:rPr>
      </w:pPr>
      <w:r w:rsidRPr="04B57DB5">
        <w:rPr>
          <w:rFonts w:ascii="Arial" w:hAnsi="Arial" w:cs="Arial"/>
          <w:color w:val="auto"/>
          <w:sz w:val="16"/>
          <w:szCs w:val="16"/>
        </w:rPr>
        <w:t xml:space="preserve">Las funciones señaladas </w:t>
      </w:r>
      <w:r w:rsidR="00B83C76">
        <w:rPr>
          <w:rFonts w:ascii="Arial" w:hAnsi="Arial" w:cs="Arial"/>
          <w:color w:val="auto"/>
          <w:sz w:val="16"/>
          <w:szCs w:val="16"/>
        </w:rPr>
        <w:t xml:space="preserve">a continuación </w:t>
      </w:r>
      <w:r w:rsidRPr="04B57DB5">
        <w:rPr>
          <w:rFonts w:ascii="Arial" w:hAnsi="Arial" w:cs="Arial"/>
          <w:color w:val="auto"/>
          <w:sz w:val="16"/>
          <w:szCs w:val="16"/>
        </w:rPr>
        <w:t>podr</w:t>
      </w:r>
      <w:r w:rsidR="00B83C76">
        <w:rPr>
          <w:rFonts w:ascii="Arial" w:hAnsi="Arial" w:cs="Arial"/>
          <w:color w:val="auto"/>
          <w:sz w:val="16"/>
          <w:szCs w:val="16"/>
        </w:rPr>
        <w:t>á</w:t>
      </w:r>
      <w:r w:rsidRPr="04B57DB5">
        <w:rPr>
          <w:rFonts w:ascii="Arial" w:hAnsi="Arial" w:cs="Arial"/>
          <w:color w:val="auto"/>
          <w:sz w:val="16"/>
          <w:szCs w:val="16"/>
        </w:rPr>
        <w:t xml:space="preserve">n ser distribuidas </w:t>
      </w:r>
      <w:r w:rsidR="00B83C76">
        <w:rPr>
          <w:rFonts w:ascii="Arial" w:hAnsi="Arial" w:cs="Arial"/>
          <w:color w:val="auto"/>
          <w:sz w:val="16"/>
          <w:szCs w:val="16"/>
        </w:rPr>
        <w:t xml:space="preserve">entre </w:t>
      </w:r>
      <w:r w:rsidRPr="04B57DB5">
        <w:rPr>
          <w:rFonts w:ascii="Arial" w:hAnsi="Arial" w:cs="Arial"/>
          <w:color w:val="auto"/>
          <w:sz w:val="16"/>
          <w:szCs w:val="16"/>
        </w:rPr>
        <w:t>el comité de riesgos</w:t>
      </w:r>
      <w:r w:rsidR="00ED35B6">
        <w:rPr>
          <w:rFonts w:ascii="Arial" w:hAnsi="Arial" w:cs="Arial"/>
          <w:color w:val="auto"/>
          <w:sz w:val="16"/>
          <w:szCs w:val="16"/>
        </w:rPr>
        <w:t xml:space="preserve"> de que trata el presente numeral</w:t>
      </w:r>
      <w:r w:rsidRPr="04B57DB5">
        <w:rPr>
          <w:rFonts w:ascii="Arial" w:hAnsi="Arial" w:cs="Arial"/>
          <w:color w:val="auto"/>
          <w:sz w:val="16"/>
          <w:szCs w:val="16"/>
        </w:rPr>
        <w:t xml:space="preserve"> y otros comités establecidos por la entidad, siempre que (i) </w:t>
      </w:r>
      <w:r w:rsidRPr="72E1F120">
        <w:rPr>
          <w:rFonts w:ascii="Arial" w:hAnsi="Arial" w:cs="Arial"/>
          <w:color w:val="auto"/>
          <w:sz w:val="16"/>
          <w:szCs w:val="16"/>
        </w:rPr>
        <w:t>los demás comités tengan una estructura orgánica y de gobierno asimilable a la del comité de riesgos</w:t>
      </w:r>
      <w:r w:rsidRPr="04B57DB5">
        <w:rPr>
          <w:rFonts w:ascii="Arial" w:hAnsi="Arial" w:cs="Arial"/>
          <w:color w:val="auto"/>
          <w:sz w:val="16"/>
          <w:szCs w:val="16"/>
        </w:rPr>
        <w:t xml:space="preserve"> y (</w:t>
      </w:r>
      <w:proofErr w:type="spellStart"/>
      <w:r w:rsidRPr="04B57DB5">
        <w:rPr>
          <w:rFonts w:ascii="Arial" w:hAnsi="Arial" w:cs="Arial"/>
          <w:color w:val="auto"/>
          <w:sz w:val="16"/>
          <w:szCs w:val="16"/>
        </w:rPr>
        <w:t>ii</w:t>
      </w:r>
      <w:proofErr w:type="spellEnd"/>
      <w:r w:rsidRPr="04B57DB5">
        <w:rPr>
          <w:rFonts w:ascii="Arial" w:hAnsi="Arial" w:cs="Arial"/>
          <w:color w:val="auto"/>
          <w:sz w:val="16"/>
          <w:szCs w:val="16"/>
        </w:rPr>
        <w:t>) dentro de la distribución aprobada por la junta directiva se garantice el cumplimiento efectivo de las funciones.</w:t>
      </w:r>
      <w:bookmarkEnd w:id="7"/>
    </w:p>
    <w:p w14:paraId="034EDA86" w14:textId="77777777" w:rsidR="00E65029" w:rsidRDefault="00E65029" w:rsidP="00DB1073">
      <w:pPr>
        <w:pStyle w:val="NormalWeb"/>
        <w:pBdr>
          <w:left w:val="single" w:sz="4" w:space="1" w:color="auto"/>
        </w:pBdr>
        <w:autoSpaceDE w:val="0"/>
        <w:autoSpaceDN w:val="0"/>
        <w:adjustRightInd w:val="0"/>
        <w:spacing w:before="0" w:beforeAutospacing="0" w:after="0" w:afterAutospacing="0"/>
        <w:jc w:val="both"/>
        <w:rPr>
          <w:rFonts w:ascii="Arial" w:hAnsi="Arial" w:cs="Arial"/>
          <w:color w:val="auto"/>
          <w:sz w:val="16"/>
          <w:szCs w:val="16"/>
        </w:rPr>
      </w:pPr>
    </w:p>
    <w:p w14:paraId="34A8D795" w14:textId="1FA5F155" w:rsidR="00A66B7B" w:rsidRPr="0063071A" w:rsidRDefault="00A66B7B" w:rsidP="00DB1073">
      <w:pPr>
        <w:pStyle w:val="NormalWeb"/>
        <w:pBdr>
          <w:left w:val="single" w:sz="4" w:space="1" w:color="auto"/>
        </w:pBdr>
        <w:autoSpaceDE w:val="0"/>
        <w:autoSpaceDN w:val="0"/>
        <w:adjustRightInd w:val="0"/>
        <w:spacing w:before="0" w:beforeAutospacing="0" w:after="0" w:afterAutospacing="0"/>
        <w:jc w:val="both"/>
        <w:rPr>
          <w:rFonts w:cs="Arial"/>
          <w:sz w:val="16"/>
          <w:szCs w:val="16"/>
        </w:rPr>
      </w:pPr>
      <w:r w:rsidRPr="4C06314D">
        <w:rPr>
          <w:rFonts w:ascii="Arial" w:hAnsi="Arial" w:cs="Arial"/>
          <w:color w:val="auto"/>
          <w:sz w:val="16"/>
          <w:szCs w:val="16"/>
        </w:rPr>
        <w:t>Para el efecto</w:t>
      </w:r>
      <w:r w:rsidR="67EF868A" w:rsidRPr="0E031C39">
        <w:rPr>
          <w:rFonts w:ascii="Arial" w:hAnsi="Arial" w:cs="Arial"/>
          <w:color w:val="auto"/>
          <w:sz w:val="16"/>
          <w:szCs w:val="16"/>
        </w:rPr>
        <w:t xml:space="preserve"> en relación con la gestión de </w:t>
      </w:r>
      <w:r w:rsidR="67EF868A" w:rsidRPr="2610534F">
        <w:rPr>
          <w:rFonts w:ascii="Arial" w:hAnsi="Arial" w:cs="Arial"/>
          <w:color w:val="auto"/>
          <w:sz w:val="16"/>
          <w:szCs w:val="16"/>
        </w:rPr>
        <w:t>inversiones</w:t>
      </w:r>
      <w:r w:rsidRPr="4C06314D">
        <w:rPr>
          <w:rFonts w:ascii="Arial" w:hAnsi="Arial" w:cs="Arial"/>
          <w:color w:val="auto"/>
          <w:sz w:val="16"/>
          <w:szCs w:val="16"/>
        </w:rPr>
        <w:t xml:space="preserve">, </w:t>
      </w:r>
      <w:r w:rsidR="359F6F55" w:rsidRPr="4C06314D">
        <w:rPr>
          <w:rFonts w:ascii="Arial" w:hAnsi="Arial" w:cs="Arial"/>
          <w:color w:val="auto"/>
          <w:sz w:val="16"/>
          <w:szCs w:val="16"/>
        </w:rPr>
        <w:t>el</w:t>
      </w:r>
      <w:r w:rsidRPr="4C06314D">
        <w:rPr>
          <w:rFonts w:ascii="Arial" w:hAnsi="Arial" w:cs="Arial"/>
          <w:color w:val="auto"/>
          <w:sz w:val="16"/>
          <w:szCs w:val="16"/>
        </w:rPr>
        <w:t xml:space="preserve"> comité tendrá las siguientes funciones:</w:t>
      </w:r>
    </w:p>
    <w:p w14:paraId="13D7E464" w14:textId="630D4520" w:rsidR="30DCC284" w:rsidRDefault="30DCC284" w:rsidP="00DB1073">
      <w:pPr>
        <w:pBdr>
          <w:left w:val="single" w:sz="4" w:space="1" w:color="auto"/>
        </w:pBdr>
        <w:rPr>
          <w:rFonts w:cs="Arial"/>
          <w:sz w:val="12"/>
          <w:szCs w:val="12"/>
        </w:rPr>
      </w:pPr>
    </w:p>
    <w:p w14:paraId="1CC795EC" w14:textId="337D5C41" w:rsidR="00CD1B9E" w:rsidRDefault="00A66B7B" w:rsidP="00DB1073">
      <w:pPr>
        <w:pBdr>
          <w:left w:val="single" w:sz="4" w:space="1" w:color="auto"/>
        </w:pBdr>
        <w:autoSpaceDE w:val="0"/>
        <w:autoSpaceDN w:val="0"/>
        <w:adjustRightInd w:val="0"/>
        <w:rPr>
          <w:rFonts w:cs="Arial"/>
          <w:sz w:val="16"/>
          <w:szCs w:val="16"/>
        </w:rPr>
      </w:pPr>
      <w:r w:rsidRPr="4C06314D">
        <w:rPr>
          <w:rFonts w:cs="Arial"/>
          <w:sz w:val="16"/>
          <w:szCs w:val="16"/>
        </w:rPr>
        <w:t>2.1. Proponer a la junta directiva, para su respectiva aprobación, las políticas de la entidad en la administración o gestión de riesgos</w:t>
      </w:r>
      <w:r w:rsidR="0383DBAC" w:rsidRPr="4C06314D">
        <w:rPr>
          <w:rFonts w:cs="Arial"/>
          <w:sz w:val="16"/>
          <w:szCs w:val="16"/>
        </w:rPr>
        <w:t xml:space="preserve"> inherentes a la actividad de inversión</w:t>
      </w:r>
      <w:r w:rsidR="00E63E81" w:rsidRPr="4C06314D">
        <w:rPr>
          <w:rFonts w:cs="Arial"/>
          <w:sz w:val="16"/>
          <w:szCs w:val="16"/>
        </w:rPr>
        <w:t>.</w:t>
      </w:r>
    </w:p>
    <w:p w14:paraId="3EF3632E" w14:textId="77777777" w:rsidR="00CD1B9E" w:rsidRDefault="00CD1B9E" w:rsidP="00DB1073">
      <w:pPr>
        <w:pBdr>
          <w:left w:val="single" w:sz="4" w:space="1" w:color="auto"/>
        </w:pBdr>
        <w:autoSpaceDE w:val="0"/>
        <w:autoSpaceDN w:val="0"/>
        <w:adjustRightInd w:val="0"/>
        <w:rPr>
          <w:rFonts w:cs="Arial"/>
          <w:sz w:val="16"/>
          <w:szCs w:val="16"/>
        </w:rPr>
      </w:pPr>
    </w:p>
    <w:p w14:paraId="1E5C72A9" w14:textId="68F9E982" w:rsidR="00A66B7B" w:rsidRDefault="00A66B7B" w:rsidP="00DB1073">
      <w:pPr>
        <w:pBdr>
          <w:left w:val="single" w:sz="4" w:space="1" w:color="auto"/>
        </w:pBdr>
        <w:autoSpaceDE w:val="0"/>
        <w:autoSpaceDN w:val="0"/>
        <w:adjustRightInd w:val="0"/>
        <w:rPr>
          <w:rFonts w:cs="Arial"/>
          <w:sz w:val="16"/>
          <w:szCs w:val="16"/>
        </w:rPr>
      </w:pPr>
      <w:r w:rsidRPr="4C06314D">
        <w:rPr>
          <w:rFonts w:cs="Arial"/>
          <w:sz w:val="16"/>
          <w:szCs w:val="16"/>
        </w:rPr>
        <w:t xml:space="preserve">2.2. Evaluar y hacer seguimiento a los informes presentados por el </w:t>
      </w:r>
      <w:r w:rsidRPr="4C06314D">
        <w:rPr>
          <w:rFonts w:cs="Arial"/>
          <w:i/>
          <w:iCs/>
          <w:sz w:val="16"/>
          <w:szCs w:val="16"/>
        </w:rPr>
        <w:t>middle office</w:t>
      </w:r>
      <w:r w:rsidRPr="4C06314D">
        <w:rPr>
          <w:rFonts w:cs="Arial"/>
          <w:sz w:val="16"/>
          <w:szCs w:val="16"/>
        </w:rPr>
        <w:t xml:space="preserve"> sobre el cumplimiento de las políticas de administración o gestión de riesgos </w:t>
      </w:r>
      <w:r w:rsidR="1CD45385" w:rsidRPr="4C06314D">
        <w:rPr>
          <w:rFonts w:cs="Arial"/>
          <w:sz w:val="16"/>
          <w:szCs w:val="16"/>
        </w:rPr>
        <w:t>inherentes a la actividad de inversión</w:t>
      </w:r>
      <w:r w:rsidR="00E63E81" w:rsidRPr="4C06314D">
        <w:rPr>
          <w:rFonts w:cs="Arial"/>
          <w:sz w:val="16"/>
          <w:szCs w:val="16"/>
        </w:rPr>
        <w:t xml:space="preserve"> </w:t>
      </w:r>
      <w:r w:rsidRPr="4C06314D">
        <w:rPr>
          <w:rFonts w:cs="Arial"/>
          <w:sz w:val="16"/>
          <w:szCs w:val="16"/>
        </w:rPr>
        <w:t>y presentar ante la junta directiva, por lo menos una vez al mes, un informe sobre dicha evaluación.</w:t>
      </w:r>
    </w:p>
    <w:p w14:paraId="4BDB5498" w14:textId="77777777" w:rsidR="00A66B7B" w:rsidRDefault="00A66B7B" w:rsidP="00DB1073">
      <w:pPr>
        <w:pBdr>
          <w:left w:val="single" w:sz="4" w:space="1" w:color="auto"/>
        </w:pBdr>
        <w:tabs>
          <w:tab w:val="num" w:pos="720"/>
        </w:tabs>
        <w:autoSpaceDE w:val="0"/>
        <w:autoSpaceDN w:val="0"/>
        <w:adjustRightInd w:val="0"/>
        <w:rPr>
          <w:rFonts w:cs="Arial"/>
          <w:sz w:val="16"/>
          <w:szCs w:val="16"/>
        </w:rPr>
      </w:pPr>
    </w:p>
    <w:p w14:paraId="7F8C068E" w14:textId="66C3A156" w:rsidR="00A66B7B" w:rsidRPr="0063071A" w:rsidRDefault="00A66B7B"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 xml:space="preserve">2.3. Proponer a la junta directiva, para su respectiva aprobación, las metodologías de identificación, medición, control y monitoreo de los riesgos inherentes a la actividad de inversión </w:t>
      </w:r>
      <w:r w:rsidR="00E63E81" w:rsidRPr="4C06314D">
        <w:rPr>
          <w:rFonts w:cs="Arial"/>
          <w:sz w:val="16"/>
          <w:szCs w:val="16"/>
        </w:rPr>
        <w:t xml:space="preserve">y evaluar los resultados sobre </w:t>
      </w:r>
      <w:r w:rsidR="00E63E81" w:rsidRPr="4C06314D">
        <w:rPr>
          <w:rFonts w:cs="Arial"/>
          <w:i/>
          <w:iCs/>
          <w:sz w:val="16"/>
          <w:szCs w:val="16"/>
        </w:rPr>
        <w:t>back</w:t>
      </w:r>
      <w:r w:rsidR="00E63E81" w:rsidRPr="4C06314D">
        <w:rPr>
          <w:rFonts w:cs="Arial"/>
          <w:sz w:val="16"/>
          <w:szCs w:val="16"/>
        </w:rPr>
        <w:t xml:space="preserve"> y </w:t>
      </w:r>
      <w:r w:rsidR="00E63E81" w:rsidRPr="4C06314D">
        <w:rPr>
          <w:rFonts w:cs="Arial"/>
          <w:i/>
          <w:iCs/>
          <w:sz w:val="16"/>
          <w:szCs w:val="16"/>
        </w:rPr>
        <w:t xml:space="preserve">stress </w:t>
      </w:r>
      <w:proofErr w:type="spellStart"/>
      <w:r w:rsidR="00E63E81" w:rsidRPr="4C06314D">
        <w:rPr>
          <w:rFonts w:cs="Arial"/>
          <w:i/>
          <w:iCs/>
          <w:sz w:val="16"/>
          <w:szCs w:val="16"/>
        </w:rPr>
        <w:t>testing</w:t>
      </w:r>
      <w:proofErr w:type="spellEnd"/>
      <w:r w:rsidR="00E63E81" w:rsidRPr="4C06314D">
        <w:rPr>
          <w:rFonts w:cs="Arial"/>
          <w:sz w:val="16"/>
          <w:szCs w:val="16"/>
        </w:rPr>
        <w:t xml:space="preserve">. </w:t>
      </w:r>
    </w:p>
    <w:p w14:paraId="2916C19D" w14:textId="77777777" w:rsidR="00A66B7B" w:rsidRPr="00AD5242" w:rsidRDefault="00A66B7B" w:rsidP="00DB1073">
      <w:pPr>
        <w:pBdr>
          <w:left w:val="single" w:sz="4" w:space="1" w:color="auto"/>
        </w:pBdr>
        <w:tabs>
          <w:tab w:val="num" w:pos="720"/>
        </w:tabs>
        <w:autoSpaceDE w:val="0"/>
        <w:autoSpaceDN w:val="0"/>
        <w:adjustRightInd w:val="0"/>
        <w:rPr>
          <w:rFonts w:cs="Arial"/>
          <w:sz w:val="14"/>
          <w:szCs w:val="14"/>
        </w:rPr>
      </w:pPr>
    </w:p>
    <w:p w14:paraId="4067C7BD" w14:textId="04E4C43D" w:rsidR="00A66B7B" w:rsidRDefault="00A66B7B"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2.4. Presentar a la junta directiva para su aprobación, los límites de exposición a los riesgos inherentes a la actividad de inversión y efectuar seguimiento al cumplimiento de los mismos.</w:t>
      </w:r>
    </w:p>
    <w:p w14:paraId="74869460" w14:textId="77777777" w:rsidR="00A66B7B" w:rsidRDefault="00A66B7B" w:rsidP="00DB1073">
      <w:pPr>
        <w:pBdr>
          <w:left w:val="single" w:sz="4" w:space="1" w:color="auto"/>
        </w:pBdr>
        <w:tabs>
          <w:tab w:val="num" w:pos="720"/>
        </w:tabs>
        <w:autoSpaceDE w:val="0"/>
        <w:autoSpaceDN w:val="0"/>
        <w:adjustRightInd w:val="0"/>
        <w:rPr>
          <w:rFonts w:cs="Arial"/>
          <w:sz w:val="16"/>
          <w:szCs w:val="16"/>
        </w:rPr>
      </w:pPr>
    </w:p>
    <w:p w14:paraId="5EACBD17" w14:textId="16471065" w:rsidR="00A66B7B" w:rsidRPr="000564F1" w:rsidRDefault="00A66B7B" w:rsidP="00DB1073">
      <w:pPr>
        <w:pBdr>
          <w:left w:val="single" w:sz="4" w:space="1" w:color="auto"/>
        </w:pBdr>
        <w:tabs>
          <w:tab w:val="num" w:pos="720"/>
        </w:tabs>
        <w:autoSpaceDE w:val="0"/>
        <w:autoSpaceDN w:val="0"/>
        <w:adjustRightInd w:val="0"/>
        <w:rPr>
          <w:rFonts w:cs="Arial"/>
          <w:sz w:val="16"/>
          <w:szCs w:val="16"/>
        </w:rPr>
      </w:pPr>
      <w:r w:rsidRPr="317A41FC">
        <w:rPr>
          <w:rFonts w:cs="Arial"/>
          <w:sz w:val="16"/>
          <w:szCs w:val="16"/>
        </w:rPr>
        <w:t xml:space="preserve">2.5. </w:t>
      </w:r>
      <w:r w:rsidR="0F41EDE3" w:rsidRPr="317A41FC">
        <w:rPr>
          <w:rFonts w:cs="Arial"/>
          <w:sz w:val="16"/>
          <w:szCs w:val="16"/>
        </w:rPr>
        <w:t>Seleccionar</w:t>
      </w:r>
      <w:r w:rsidR="21C16751" w:rsidRPr="317A41FC">
        <w:rPr>
          <w:rFonts w:cs="Arial"/>
          <w:sz w:val="16"/>
          <w:szCs w:val="16"/>
        </w:rPr>
        <w:t xml:space="preserve"> </w:t>
      </w:r>
      <w:r w:rsidRPr="317A41FC">
        <w:rPr>
          <w:rFonts w:cs="Arial"/>
          <w:sz w:val="16"/>
          <w:szCs w:val="16"/>
        </w:rPr>
        <w:t xml:space="preserve">los distintos emisores, contrapartes y gestores de fondos, así como </w:t>
      </w:r>
      <w:r w:rsidR="534E6741" w:rsidRPr="317A41FC">
        <w:rPr>
          <w:rFonts w:cs="Arial"/>
          <w:sz w:val="16"/>
          <w:szCs w:val="16"/>
        </w:rPr>
        <w:t>definir</w:t>
      </w:r>
      <w:r w:rsidRPr="317A41FC">
        <w:rPr>
          <w:rFonts w:cs="Arial"/>
          <w:sz w:val="16"/>
          <w:szCs w:val="16"/>
        </w:rPr>
        <w:t xml:space="preserve"> los cupos de inversión en </w:t>
      </w:r>
      <w:r w:rsidR="56476A08" w:rsidRPr="317A41FC">
        <w:rPr>
          <w:rFonts w:cs="Arial"/>
          <w:sz w:val="16"/>
          <w:szCs w:val="16"/>
        </w:rPr>
        <w:t>ellos</w:t>
      </w:r>
      <w:r w:rsidRPr="317A41FC">
        <w:rPr>
          <w:rFonts w:cs="Arial"/>
          <w:sz w:val="16"/>
          <w:szCs w:val="16"/>
        </w:rPr>
        <w:t>.</w:t>
      </w:r>
    </w:p>
    <w:p w14:paraId="187F57B8" w14:textId="77777777" w:rsidR="00A66B7B" w:rsidRPr="00AD5242" w:rsidRDefault="00A66B7B" w:rsidP="00DB1073">
      <w:pPr>
        <w:pBdr>
          <w:left w:val="single" w:sz="4" w:space="1" w:color="auto"/>
        </w:pBdr>
        <w:tabs>
          <w:tab w:val="num" w:pos="720"/>
        </w:tabs>
        <w:autoSpaceDE w:val="0"/>
        <w:autoSpaceDN w:val="0"/>
        <w:adjustRightInd w:val="0"/>
        <w:ind w:left="720" w:hanging="720"/>
        <w:rPr>
          <w:rFonts w:cs="Arial"/>
          <w:sz w:val="14"/>
          <w:szCs w:val="14"/>
        </w:rPr>
      </w:pPr>
    </w:p>
    <w:p w14:paraId="758EE78B" w14:textId="424C575E" w:rsidR="00A66B7B" w:rsidRDefault="00A66B7B"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 xml:space="preserve">2.6. </w:t>
      </w:r>
      <w:bookmarkStart w:id="8" w:name="_Hlk67503726"/>
      <w:r w:rsidR="000F0C19">
        <w:rPr>
          <w:rFonts w:cs="Arial"/>
          <w:sz w:val="16"/>
          <w:szCs w:val="16"/>
        </w:rPr>
        <w:t>Adoptar criterios para</w:t>
      </w:r>
      <w:r w:rsidR="000F0C19" w:rsidRPr="4C06314D">
        <w:rPr>
          <w:rFonts w:cs="Arial"/>
          <w:sz w:val="16"/>
          <w:szCs w:val="16"/>
        </w:rPr>
        <w:t xml:space="preserve"> </w:t>
      </w:r>
      <w:r w:rsidRPr="4C06314D">
        <w:rPr>
          <w:rFonts w:cs="Arial"/>
          <w:sz w:val="16"/>
          <w:szCs w:val="16"/>
        </w:rPr>
        <w:t xml:space="preserve">la </w:t>
      </w:r>
      <w:bookmarkEnd w:id="8"/>
      <w:r w:rsidRPr="4C06314D">
        <w:rPr>
          <w:rFonts w:cs="Arial"/>
          <w:sz w:val="16"/>
          <w:szCs w:val="16"/>
        </w:rPr>
        <w:t xml:space="preserve">adquisición de nuevas clases de activos, garantizando que se ajusten a las políticas de inversión y cumplan con los lineamientos legales. </w:t>
      </w:r>
    </w:p>
    <w:p w14:paraId="54738AF4" w14:textId="77777777" w:rsidR="00A66B7B" w:rsidRDefault="00A66B7B" w:rsidP="00DB1073">
      <w:pPr>
        <w:pBdr>
          <w:left w:val="single" w:sz="4" w:space="1" w:color="auto"/>
        </w:pBdr>
        <w:tabs>
          <w:tab w:val="num" w:pos="720"/>
        </w:tabs>
        <w:autoSpaceDE w:val="0"/>
        <w:autoSpaceDN w:val="0"/>
        <w:adjustRightInd w:val="0"/>
        <w:rPr>
          <w:rFonts w:cs="Arial"/>
          <w:sz w:val="16"/>
          <w:szCs w:val="16"/>
        </w:rPr>
      </w:pPr>
    </w:p>
    <w:p w14:paraId="46ABBD8F" w14:textId="0F1D1C40" w:rsidR="003F5192" w:rsidRPr="00AD5242" w:rsidRDefault="00A66B7B" w:rsidP="00DB1073">
      <w:pPr>
        <w:pBdr>
          <w:left w:val="single" w:sz="4" w:space="1" w:color="auto"/>
        </w:pBdr>
        <w:tabs>
          <w:tab w:val="num" w:pos="720"/>
        </w:tabs>
        <w:rPr>
          <w:rFonts w:cs="Arial"/>
          <w:sz w:val="16"/>
          <w:szCs w:val="16"/>
        </w:rPr>
      </w:pPr>
      <w:r w:rsidRPr="4C06314D">
        <w:rPr>
          <w:rFonts w:cs="Arial"/>
          <w:sz w:val="16"/>
          <w:szCs w:val="16"/>
        </w:rPr>
        <w:t xml:space="preserve">2.7. Efectuar seguimiento permanente al mercado con el fin de conocer sobre cualquier evento o contingencia que pudiera afectar </w:t>
      </w:r>
      <w:r w:rsidR="00F04DEC" w:rsidRPr="4C06314D">
        <w:rPr>
          <w:rFonts w:cs="Arial"/>
          <w:sz w:val="16"/>
          <w:szCs w:val="16"/>
        </w:rPr>
        <w:t>la valoración del portafolio de inversiones</w:t>
      </w:r>
      <w:r w:rsidR="7BFA0EF2" w:rsidRPr="4C06314D">
        <w:rPr>
          <w:rFonts w:cs="Arial"/>
          <w:sz w:val="16"/>
          <w:szCs w:val="16"/>
        </w:rPr>
        <w:t>, incluyendo lo relacionado con riesgos emergentes</w:t>
      </w:r>
      <w:r w:rsidR="2084B44C" w:rsidRPr="4C06314D">
        <w:rPr>
          <w:rFonts w:cs="Arial"/>
          <w:sz w:val="16"/>
          <w:szCs w:val="16"/>
        </w:rPr>
        <w:t>.</w:t>
      </w:r>
    </w:p>
    <w:p w14:paraId="437B6C35" w14:textId="30385991" w:rsidR="4DB71304" w:rsidRDefault="4DB71304" w:rsidP="00DB1073">
      <w:pPr>
        <w:pBdr>
          <w:left w:val="single" w:sz="4" w:space="1" w:color="auto"/>
        </w:pBdr>
        <w:tabs>
          <w:tab w:val="num" w:pos="720"/>
        </w:tabs>
        <w:rPr>
          <w:rFonts w:cs="Arial"/>
          <w:sz w:val="16"/>
          <w:szCs w:val="16"/>
        </w:rPr>
      </w:pPr>
    </w:p>
    <w:p w14:paraId="273ECCE0" w14:textId="3402744E" w:rsidR="00A66B7B" w:rsidRPr="000564F1" w:rsidRDefault="00A66B7B"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2.8. Efectuar control y seguimiento al cumplimiento de las políticas de inversión, en relación con las condiciones que deben cumplir las inversiones y presentar ante la junta directiva por lo menos una vez al mes un informe sobre el particular.</w:t>
      </w:r>
    </w:p>
    <w:p w14:paraId="06BBA33E" w14:textId="77777777" w:rsidR="00A66B7B" w:rsidRPr="00AD5242" w:rsidRDefault="00A66B7B" w:rsidP="00DB1073">
      <w:pPr>
        <w:pBdr>
          <w:left w:val="single" w:sz="4" w:space="1" w:color="auto"/>
        </w:pBdr>
        <w:tabs>
          <w:tab w:val="num" w:pos="720"/>
        </w:tabs>
        <w:autoSpaceDE w:val="0"/>
        <w:autoSpaceDN w:val="0"/>
        <w:adjustRightInd w:val="0"/>
        <w:ind w:left="720" w:hanging="720"/>
        <w:rPr>
          <w:rFonts w:cs="Arial"/>
          <w:sz w:val="14"/>
          <w:szCs w:val="16"/>
        </w:rPr>
      </w:pPr>
    </w:p>
    <w:p w14:paraId="06AE1E41" w14:textId="4158B165" w:rsidR="00CD1B9E" w:rsidRDefault="00A66B7B"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 xml:space="preserve">2.9. </w:t>
      </w:r>
      <w:r w:rsidR="006F59BD">
        <w:rPr>
          <w:rFonts w:cs="Arial"/>
          <w:sz w:val="16"/>
          <w:szCs w:val="16"/>
        </w:rPr>
        <w:t>M</w:t>
      </w:r>
      <w:r w:rsidRPr="4C06314D">
        <w:rPr>
          <w:rFonts w:cs="Arial"/>
          <w:sz w:val="16"/>
          <w:szCs w:val="16"/>
        </w:rPr>
        <w:t>onitorear los límites de inversión internos y legales, y la posición en riesgo de</w:t>
      </w:r>
      <w:r w:rsidR="003F1B0B" w:rsidRPr="4C06314D">
        <w:rPr>
          <w:rFonts w:cs="Arial"/>
          <w:sz w:val="16"/>
          <w:szCs w:val="16"/>
        </w:rPr>
        <w:t>l portafolio de in</w:t>
      </w:r>
      <w:r w:rsidR="00BE7299" w:rsidRPr="4C06314D">
        <w:rPr>
          <w:rFonts w:cs="Arial"/>
          <w:sz w:val="16"/>
          <w:szCs w:val="16"/>
        </w:rPr>
        <w:t>versiones</w:t>
      </w:r>
      <w:r w:rsidR="00E63E81" w:rsidRPr="4C06314D">
        <w:rPr>
          <w:rFonts w:cs="Arial"/>
          <w:sz w:val="16"/>
          <w:szCs w:val="16"/>
        </w:rPr>
        <w:t xml:space="preserve">. </w:t>
      </w:r>
    </w:p>
    <w:p w14:paraId="766561AB" w14:textId="77777777" w:rsidR="00CD1B9E" w:rsidRDefault="00CD1B9E" w:rsidP="00DB1073">
      <w:pPr>
        <w:pBdr>
          <w:left w:val="single" w:sz="4" w:space="1" w:color="auto"/>
        </w:pBdr>
        <w:tabs>
          <w:tab w:val="num" w:pos="720"/>
        </w:tabs>
        <w:autoSpaceDE w:val="0"/>
        <w:autoSpaceDN w:val="0"/>
        <w:adjustRightInd w:val="0"/>
        <w:rPr>
          <w:rFonts w:cs="Arial"/>
          <w:sz w:val="16"/>
          <w:szCs w:val="16"/>
        </w:rPr>
      </w:pPr>
    </w:p>
    <w:p w14:paraId="26B91B6A" w14:textId="671E92CE" w:rsidR="00513EBA" w:rsidRPr="000564F1" w:rsidRDefault="00513EBA"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lastRenderedPageBreak/>
        <w:t>2.10. Aprobar los reportes para monitorear el cumplimiento de las políticas de administración o gestión de riesgos</w:t>
      </w:r>
      <w:r w:rsidR="00B27B59">
        <w:rPr>
          <w:rFonts w:cs="Arial"/>
          <w:sz w:val="16"/>
          <w:szCs w:val="16"/>
        </w:rPr>
        <w:t xml:space="preserve"> inherentes a la actividad de inversión</w:t>
      </w:r>
      <w:r w:rsidRPr="4C06314D">
        <w:rPr>
          <w:rFonts w:cs="Arial"/>
          <w:sz w:val="16"/>
          <w:szCs w:val="16"/>
        </w:rPr>
        <w:t xml:space="preserve">. </w:t>
      </w:r>
    </w:p>
    <w:p w14:paraId="50895670" w14:textId="77777777" w:rsidR="00513EBA" w:rsidRPr="00DA1269" w:rsidRDefault="00513EBA" w:rsidP="00DB1073">
      <w:pPr>
        <w:pBdr>
          <w:left w:val="single" w:sz="4" w:space="1" w:color="auto"/>
        </w:pBdr>
        <w:tabs>
          <w:tab w:val="num" w:pos="720"/>
        </w:tabs>
        <w:autoSpaceDE w:val="0"/>
        <w:autoSpaceDN w:val="0"/>
        <w:adjustRightInd w:val="0"/>
        <w:ind w:left="720" w:hanging="720"/>
        <w:rPr>
          <w:rFonts w:cs="Arial"/>
          <w:sz w:val="12"/>
          <w:szCs w:val="16"/>
        </w:rPr>
      </w:pPr>
    </w:p>
    <w:p w14:paraId="0679C850" w14:textId="1BD62E6E" w:rsidR="00513EBA" w:rsidRPr="000564F1" w:rsidRDefault="00513EBA"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 xml:space="preserve">2.11. Presentar a la junta directiva </w:t>
      </w:r>
      <w:r w:rsidR="0029050C" w:rsidRPr="4C06314D">
        <w:rPr>
          <w:rFonts w:cs="Arial"/>
          <w:sz w:val="16"/>
          <w:szCs w:val="16"/>
        </w:rPr>
        <w:t xml:space="preserve">para su aprobación </w:t>
      </w:r>
      <w:r w:rsidRPr="4C06314D">
        <w:rPr>
          <w:rFonts w:cs="Arial"/>
          <w:sz w:val="16"/>
          <w:szCs w:val="16"/>
        </w:rPr>
        <w:t xml:space="preserve">el procedimiento a seguir en caso de incumplimiento a los límites de inversión internos y legales y a los límites de exposición a los riesgos inherentes a la actividad de inversión, las </w:t>
      </w:r>
      <w:r w:rsidR="22C3ABAC" w:rsidRPr="4C06314D">
        <w:rPr>
          <w:rFonts w:cs="Arial"/>
          <w:sz w:val="16"/>
          <w:szCs w:val="16"/>
        </w:rPr>
        <w:t>medida</w:t>
      </w:r>
      <w:r w:rsidRPr="4C06314D">
        <w:rPr>
          <w:rFonts w:cs="Arial"/>
          <w:sz w:val="16"/>
          <w:szCs w:val="16"/>
        </w:rPr>
        <w:t>s a aplicar en tales casos, el mecanismo de información a la junta directiva sobre los citados eventos, y hacer seguimiento a dicho procedimiento.</w:t>
      </w:r>
    </w:p>
    <w:p w14:paraId="3C2AC40E" w14:textId="3DB00ED0" w:rsidR="43105167" w:rsidRDefault="43105167" w:rsidP="00DB1073">
      <w:pPr>
        <w:pBdr>
          <w:left w:val="single" w:sz="4" w:space="1" w:color="auto"/>
        </w:pBdr>
        <w:tabs>
          <w:tab w:val="num" w:pos="720"/>
        </w:tabs>
        <w:rPr>
          <w:rFonts w:cs="Arial"/>
          <w:sz w:val="16"/>
          <w:szCs w:val="16"/>
        </w:rPr>
      </w:pPr>
    </w:p>
    <w:p w14:paraId="35C3B0A5" w14:textId="31CD636E" w:rsidR="2F230361" w:rsidRDefault="2F230361" w:rsidP="00DB1073">
      <w:pPr>
        <w:pBdr>
          <w:left w:val="single" w:sz="4" w:space="1" w:color="auto"/>
        </w:pBdr>
        <w:tabs>
          <w:tab w:val="num" w:pos="720"/>
        </w:tabs>
        <w:rPr>
          <w:rFonts w:cs="Arial"/>
          <w:sz w:val="16"/>
          <w:szCs w:val="16"/>
        </w:rPr>
      </w:pPr>
      <w:r w:rsidRPr="4C06314D">
        <w:rPr>
          <w:rFonts w:cs="Arial"/>
          <w:sz w:val="16"/>
          <w:szCs w:val="16"/>
        </w:rPr>
        <w:t>2.12. En relación con los conflictos de interés, el comité deberá (i) presentar ante la junta directiva para su respectiva aprobación, las políticas para su gestión en el proceso de selección y negociación de inversiones y de abstención de operaciones que den lugar a</w:t>
      </w:r>
      <w:r w:rsidR="64E44315" w:rsidRPr="4C06314D">
        <w:rPr>
          <w:rFonts w:cs="Arial"/>
          <w:sz w:val="16"/>
          <w:szCs w:val="16"/>
        </w:rPr>
        <w:t xml:space="preserve"> potenciales</w:t>
      </w:r>
      <w:r w:rsidRPr="4C06314D">
        <w:rPr>
          <w:rFonts w:cs="Arial"/>
          <w:sz w:val="16"/>
          <w:szCs w:val="16"/>
        </w:rPr>
        <w:t xml:space="preserve"> conflictos </w:t>
      </w:r>
      <w:r w:rsidR="00520C61">
        <w:rPr>
          <w:rFonts w:cs="Arial"/>
          <w:sz w:val="16"/>
          <w:szCs w:val="16"/>
        </w:rPr>
        <w:t xml:space="preserve">de interés </w:t>
      </w:r>
      <w:r w:rsidR="6E36B13C" w:rsidRPr="4C06314D">
        <w:rPr>
          <w:rFonts w:cs="Arial"/>
          <w:sz w:val="16"/>
          <w:szCs w:val="16"/>
        </w:rPr>
        <w:t>y (</w:t>
      </w:r>
      <w:proofErr w:type="spellStart"/>
      <w:r w:rsidR="6E36B13C" w:rsidRPr="4C06314D">
        <w:rPr>
          <w:rFonts w:cs="Arial"/>
          <w:sz w:val="16"/>
          <w:szCs w:val="16"/>
        </w:rPr>
        <w:t>ii</w:t>
      </w:r>
      <w:proofErr w:type="spellEnd"/>
      <w:r w:rsidR="6E36B13C" w:rsidRPr="4C06314D">
        <w:rPr>
          <w:rFonts w:cs="Arial"/>
          <w:sz w:val="16"/>
          <w:szCs w:val="16"/>
        </w:rPr>
        <w:t>) a</w:t>
      </w:r>
      <w:r w:rsidRPr="4C06314D">
        <w:rPr>
          <w:rFonts w:cs="Arial"/>
          <w:sz w:val="16"/>
          <w:szCs w:val="16"/>
        </w:rPr>
        <w:t>nalizar las situaciones relativas a los potenciales conflictos de interés relacionados con el proceso de inversión y su tratamiento, dejando constancia de los temas discutidos.</w:t>
      </w:r>
    </w:p>
    <w:p w14:paraId="178BB5B6" w14:textId="63658C16" w:rsidR="43105167" w:rsidRDefault="43105167" w:rsidP="00DB1073">
      <w:pPr>
        <w:pBdr>
          <w:left w:val="single" w:sz="4" w:space="1" w:color="auto"/>
        </w:pBdr>
        <w:tabs>
          <w:tab w:val="num" w:pos="720"/>
        </w:tabs>
        <w:rPr>
          <w:rFonts w:cs="Arial"/>
          <w:sz w:val="16"/>
          <w:szCs w:val="16"/>
        </w:rPr>
      </w:pPr>
    </w:p>
    <w:p w14:paraId="0E088458" w14:textId="5F7EFAE9" w:rsidR="00513EBA" w:rsidRPr="00DA1269" w:rsidRDefault="659CD97B" w:rsidP="00DB1073">
      <w:pPr>
        <w:pBdr>
          <w:left w:val="single" w:sz="4" w:space="1" w:color="auto"/>
        </w:pBdr>
        <w:rPr>
          <w:rFonts w:cs="Arial"/>
          <w:sz w:val="16"/>
          <w:szCs w:val="16"/>
        </w:rPr>
      </w:pPr>
      <w:r w:rsidRPr="4C06314D">
        <w:rPr>
          <w:rFonts w:cs="Arial"/>
          <w:sz w:val="16"/>
          <w:szCs w:val="16"/>
        </w:rPr>
        <w:t>2.1</w:t>
      </w:r>
      <w:r w:rsidR="616890DD" w:rsidRPr="4C06314D">
        <w:rPr>
          <w:rFonts w:cs="Arial"/>
          <w:sz w:val="16"/>
          <w:szCs w:val="16"/>
        </w:rPr>
        <w:t>3</w:t>
      </w:r>
      <w:r w:rsidRPr="4C06314D">
        <w:rPr>
          <w:rFonts w:cs="Arial"/>
          <w:sz w:val="16"/>
          <w:szCs w:val="16"/>
        </w:rPr>
        <w:t>. Definir, de acuerdo con los objetivos de la política de inversión</w:t>
      </w:r>
      <w:r w:rsidR="005129C1">
        <w:rPr>
          <w:rFonts w:cs="Arial"/>
          <w:sz w:val="16"/>
          <w:szCs w:val="16"/>
        </w:rPr>
        <w:t>,</w:t>
      </w:r>
      <w:r w:rsidRPr="4C06314D">
        <w:rPr>
          <w:rFonts w:cs="Arial"/>
          <w:sz w:val="16"/>
          <w:szCs w:val="16"/>
        </w:rPr>
        <w:t xml:space="preserve"> la asignación estratégica de activos</w:t>
      </w:r>
      <w:r w:rsidR="005129C1">
        <w:rPr>
          <w:rFonts w:cs="Arial"/>
          <w:sz w:val="16"/>
          <w:szCs w:val="16"/>
        </w:rPr>
        <w:t>,</w:t>
      </w:r>
      <w:r w:rsidRPr="4C06314D">
        <w:rPr>
          <w:rFonts w:cs="Arial"/>
          <w:sz w:val="16"/>
          <w:szCs w:val="16"/>
        </w:rPr>
        <w:t xml:space="preserve"> así como sus modificaciones</w:t>
      </w:r>
      <w:r w:rsidR="00D418C9">
        <w:rPr>
          <w:rFonts w:cs="Arial"/>
          <w:sz w:val="16"/>
          <w:szCs w:val="16"/>
        </w:rPr>
        <w:t xml:space="preserve"> </w:t>
      </w:r>
      <w:r w:rsidRPr="4C06314D">
        <w:rPr>
          <w:rFonts w:cs="Arial"/>
          <w:sz w:val="16"/>
          <w:szCs w:val="16"/>
        </w:rPr>
        <w:t xml:space="preserve">con el fin de someterla a consideración de la junta directiva. </w:t>
      </w:r>
    </w:p>
    <w:p w14:paraId="098C7DA4" w14:textId="3D7003E0" w:rsidR="00513EBA" w:rsidRPr="00DA1269" w:rsidRDefault="00513EBA" w:rsidP="00DB1073">
      <w:pPr>
        <w:pBdr>
          <w:left w:val="single" w:sz="4" w:space="1" w:color="auto"/>
        </w:pBdr>
        <w:rPr>
          <w:rFonts w:cs="Arial"/>
          <w:sz w:val="16"/>
          <w:szCs w:val="16"/>
        </w:rPr>
      </w:pPr>
    </w:p>
    <w:p w14:paraId="4EF813FF" w14:textId="1E1B9B2F" w:rsidR="00513EBA" w:rsidRPr="00DA1269" w:rsidRDefault="659CD97B" w:rsidP="00DB1073">
      <w:pPr>
        <w:pBdr>
          <w:left w:val="single" w:sz="4" w:space="1" w:color="auto"/>
        </w:pBdr>
        <w:tabs>
          <w:tab w:val="num" w:pos="720"/>
        </w:tabs>
        <w:rPr>
          <w:rFonts w:cs="Arial"/>
          <w:sz w:val="16"/>
          <w:szCs w:val="16"/>
        </w:rPr>
      </w:pPr>
      <w:r w:rsidRPr="4C06314D">
        <w:rPr>
          <w:rFonts w:cs="Arial"/>
          <w:sz w:val="16"/>
          <w:szCs w:val="16"/>
        </w:rPr>
        <w:t>2.1</w:t>
      </w:r>
      <w:r w:rsidR="6595F368" w:rsidRPr="4C06314D">
        <w:rPr>
          <w:rFonts w:cs="Arial"/>
          <w:sz w:val="16"/>
          <w:szCs w:val="16"/>
        </w:rPr>
        <w:t>4</w:t>
      </w:r>
      <w:r w:rsidRPr="4C06314D">
        <w:rPr>
          <w:rFonts w:cs="Arial"/>
          <w:sz w:val="16"/>
          <w:szCs w:val="16"/>
        </w:rPr>
        <w:t>. Establecer los eventos en los cuales se puede modificar la ponderación por clase de activos determinada en la asignación estratégica de activos, fijar los procedimientos a seguir para efectuar dichas modificaciones y los mecanismos de documentación de los mismos.</w:t>
      </w:r>
    </w:p>
    <w:p w14:paraId="36D64B5F" w14:textId="7D467C61" w:rsidR="00513EBA" w:rsidRPr="00DA1269" w:rsidRDefault="00513EBA" w:rsidP="00DB1073">
      <w:pPr>
        <w:pBdr>
          <w:left w:val="single" w:sz="4" w:space="1" w:color="auto"/>
        </w:pBdr>
        <w:tabs>
          <w:tab w:val="num" w:pos="720"/>
        </w:tabs>
        <w:rPr>
          <w:rFonts w:cs="Arial"/>
          <w:sz w:val="16"/>
          <w:szCs w:val="16"/>
        </w:rPr>
      </w:pPr>
    </w:p>
    <w:p w14:paraId="7C6F3B7F" w14:textId="77777777" w:rsidR="00983BF6" w:rsidRDefault="659CD97B" w:rsidP="00DB1073">
      <w:pPr>
        <w:pBdr>
          <w:left w:val="single" w:sz="4" w:space="1" w:color="auto"/>
        </w:pBdr>
        <w:tabs>
          <w:tab w:val="num" w:pos="720"/>
        </w:tabs>
        <w:rPr>
          <w:rFonts w:cs="Arial"/>
          <w:sz w:val="16"/>
          <w:szCs w:val="16"/>
        </w:rPr>
      </w:pPr>
      <w:r w:rsidRPr="4C06314D">
        <w:rPr>
          <w:rFonts w:cs="Arial"/>
          <w:sz w:val="16"/>
          <w:szCs w:val="16"/>
        </w:rPr>
        <w:t>2.</w:t>
      </w:r>
      <w:r w:rsidR="18AF84FD" w:rsidRPr="4C06314D">
        <w:rPr>
          <w:rFonts w:cs="Arial"/>
          <w:sz w:val="16"/>
          <w:szCs w:val="16"/>
        </w:rPr>
        <w:t>15</w:t>
      </w:r>
      <w:r w:rsidRPr="4C06314D">
        <w:rPr>
          <w:rFonts w:cs="Arial"/>
          <w:sz w:val="16"/>
          <w:szCs w:val="16"/>
        </w:rPr>
        <w:t xml:space="preserve">. Definir las desviaciones </w:t>
      </w:r>
      <w:r w:rsidR="4CB1D0B4" w:rsidRPr="4A9C83FE">
        <w:rPr>
          <w:rFonts w:cs="Arial"/>
          <w:sz w:val="16"/>
          <w:szCs w:val="16"/>
        </w:rPr>
        <w:t>permitidas</w:t>
      </w:r>
      <w:r w:rsidRPr="6119E57A">
        <w:rPr>
          <w:rFonts w:cs="Arial"/>
          <w:sz w:val="16"/>
          <w:szCs w:val="16"/>
        </w:rPr>
        <w:t xml:space="preserve"> </w:t>
      </w:r>
      <w:r w:rsidRPr="4C06314D">
        <w:rPr>
          <w:rFonts w:cs="Arial"/>
          <w:sz w:val="16"/>
          <w:szCs w:val="16"/>
        </w:rPr>
        <w:t>de la asignación estratégica de activos.</w:t>
      </w:r>
    </w:p>
    <w:p w14:paraId="0D5E1B87" w14:textId="77777777" w:rsidR="00983BF6" w:rsidRDefault="00983BF6" w:rsidP="00DB1073">
      <w:pPr>
        <w:pBdr>
          <w:left w:val="single" w:sz="4" w:space="1" w:color="auto"/>
        </w:pBdr>
        <w:tabs>
          <w:tab w:val="num" w:pos="720"/>
        </w:tabs>
        <w:rPr>
          <w:rFonts w:cs="Arial"/>
          <w:sz w:val="16"/>
          <w:szCs w:val="16"/>
        </w:rPr>
      </w:pPr>
    </w:p>
    <w:p w14:paraId="1CDCEA72" w14:textId="78486FFE" w:rsidR="00513EBA" w:rsidRPr="00DA1269" w:rsidRDefault="659CD97B" w:rsidP="00DB1073">
      <w:pPr>
        <w:pBdr>
          <w:left w:val="single" w:sz="4" w:space="1" w:color="auto"/>
        </w:pBdr>
        <w:tabs>
          <w:tab w:val="num" w:pos="720"/>
        </w:tabs>
        <w:rPr>
          <w:rFonts w:cs="Arial"/>
          <w:sz w:val="16"/>
          <w:szCs w:val="16"/>
        </w:rPr>
      </w:pPr>
      <w:r w:rsidRPr="4C06314D">
        <w:rPr>
          <w:rFonts w:cs="Arial"/>
          <w:sz w:val="16"/>
          <w:szCs w:val="16"/>
        </w:rPr>
        <w:t>2.</w:t>
      </w:r>
      <w:r w:rsidR="22AF4A1B" w:rsidRPr="4C06314D">
        <w:rPr>
          <w:rFonts w:cs="Arial"/>
          <w:sz w:val="16"/>
          <w:szCs w:val="16"/>
        </w:rPr>
        <w:t>16</w:t>
      </w:r>
      <w:r w:rsidRPr="4C06314D">
        <w:rPr>
          <w:rFonts w:cs="Arial"/>
          <w:sz w:val="16"/>
          <w:szCs w:val="16"/>
        </w:rPr>
        <w:t>. Efectuar el control y seguimiento al cumplimiento de la asignación estratégica de activos y presentar ante la junta directiva</w:t>
      </w:r>
      <w:r w:rsidR="001C62D9">
        <w:rPr>
          <w:rFonts w:cs="Arial"/>
          <w:sz w:val="16"/>
          <w:szCs w:val="16"/>
        </w:rPr>
        <w:t>,</w:t>
      </w:r>
      <w:r w:rsidRPr="4C06314D">
        <w:rPr>
          <w:rFonts w:cs="Arial"/>
          <w:sz w:val="16"/>
          <w:szCs w:val="16"/>
        </w:rPr>
        <w:t xml:space="preserve"> por lo menos una vez al mes</w:t>
      </w:r>
      <w:r w:rsidR="001C62D9">
        <w:rPr>
          <w:rFonts w:cs="Arial"/>
          <w:sz w:val="16"/>
          <w:szCs w:val="16"/>
        </w:rPr>
        <w:t>,</w:t>
      </w:r>
      <w:r w:rsidRPr="4C06314D">
        <w:rPr>
          <w:rFonts w:cs="Arial"/>
          <w:sz w:val="16"/>
          <w:szCs w:val="16"/>
        </w:rPr>
        <w:t xml:space="preserve"> un informe sobre el particular.  </w:t>
      </w:r>
    </w:p>
    <w:p w14:paraId="2DA2356D" w14:textId="66581F8A" w:rsidR="00513EBA" w:rsidRPr="00DA1269" w:rsidRDefault="00513EBA" w:rsidP="00DB1073">
      <w:pPr>
        <w:pBdr>
          <w:left w:val="single" w:sz="4" w:space="1" w:color="auto"/>
        </w:pBdr>
        <w:tabs>
          <w:tab w:val="num" w:pos="720"/>
        </w:tabs>
        <w:rPr>
          <w:rFonts w:cs="Arial"/>
          <w:sz w:val="16"/>
          <w:szCs w:val="16"/>
        </w:rPr>
      </w:pPr>
    </w:p>
    <w:p w14:paraId="403E9FF0" w14:textId="2A6092AB" w:rsidR="00513EBA" w:rsidRPr="00DA1269" w:rsidRDefault="659CD97B" w:rsidP="00DB1073">
      <w:pPr>
        <w:pBdr>
          <w:left w:val="single" w:sz="4" w:space="1" w:color="auto"/>
        </w:pBdr>
        <w:tabs>
          <w:tab w:val="num" w:pos="720"/>
        </w:tabs>
        <w:rPr>
          <w:rFonts w:cs="Arial"/>
          <w:sz w:val="16"/>
          <w:szCs w:val="16"/>
        </w:rPr>
      </w:pPr>
      <w:r w:rsidRPr="4C06314D">
        <w:rPr>
          <w:rFonts w:cs="Arial"/>
          <w:sz w:val="16"/>
          <w:szCs w:val="16"/>
        </w:rPr>
        <w:t>2.</w:t>
      </w:r>
      <w:r w:rsidR="5C29288D" w:rsidRPr="4C06314D">
        <w:rPr>
          <w:rFonts w:cs="Arial"/>
          <w:sz w:val="16"/>
          <w:szCs w:val="16"/>
        </w:rPr>
        <w:t>17</w:t>
      </w:r>
      <w:r w:rsidRPr="4C06314D">
        <w:rPr>
          <w:rFonts w:cs="Arial"/>
          <w:sz w:val="16"/>
          <w:szCs w:val="16"/>
        </w:rPr>
        <w:t>. Preparar los análisis y recomendaciones que consideren necesarias, relacionadas con las condiciones que deben cumplir las inversiones y demás operaciones a realizar con los activos para que la junta directiva las tenga en cuenta en la definición de las políticas de inversión.</w:t>
      </w:r>
    </w:p>
    <w:p w14:paraId="0CD2FFD2" w14:textId="1DC0A540" w:rsidR="00513EBA" w:rsidRPr="00DA1269" w:rsidRDefault="00513EBA" w:rsidP="00DB1073">
      <w:pPr>
        <w:pBdr>
          <w:left w:val="single" w:sz="4" w:space="1" w:color="auto"/>
        </w:pBdr>
        <w:tabs>
          <w:tab w:val="num" w:pos="720"/>
        </w:tabs>
        <w:rPr>
          <w:rFonts w:cs="Arial"/>
          <w:sz w:val="16"/>
          <w:szCs w:val="16"/>
        </w:rPr>
      </w:pPr>
    </w:p>
    <w:p w14:paraId="4039C201" w14:textId="5122D4AE" w:rsidR="00513EBA" w:rsidRPr="00DA1269" w:rsidRDefault="659CD97B" w:rsidP="00DB1073">
      <w:pPr>
        <w:pBdr>
          <w:left w:val="single" w:sz="4" w:space="1" w:color="auto"/>
        </w:pBdr>
        <w:tabs>
          <w:tab w:val="num" w:pos="720"/>
        </w:tabs>
        <w:rPr>
          <w:rFonts w:cs="Arial"/>
          <w:sz w:val="16"/>
          <w:szCs w:val="16"/>
        </w:rPr>
      </w:pPr>
      <w:r w:rsidRPr="4C06314D">
        <w:rPr>
          <w:rFonts w:cs="Arial"/>
          <w:sz w:val="16"/>
          <w:szCs w:val="16"/>
        </w:rPr>
        <w:t>2.</w:t>
      </w:r>
      <w:r w:rsidR="1206E4FE" w:rsidRPr="4C06314D">
        <w:rPr>
          <w:rFonts w:cs="Arial"/>
          <w:sz w:val="16"/>
          <w:szCs w:val="16"/>
        </w:rPr>
        <w:t>18</w:t>
      </w:r>
      <w:r w:rsidRPr="4C06314D">
        <w:rPr>
          <w:rFonts w:cs="Arial"/>
          <w:sz w:val="16"/>
          <w:szCs w:val="16"/>
        </w:rPr>
        <w:t>. Someter a consideración de la junta directiva la relación riesgo-retorno prevista</w:t>
      </w:r>
      <w:r w:rsidR="006A7E2F">
        <w:rPr>
          <w:rFonts w:cs="Arial"/>
          <w:sz w:val="16"/>
          <w:szCs w:val="16"/>
        </w:rPr>
        <w:t xml:space="preserve"> </w:t>
      </w:r>
      <w:r w:rsidR="00383F1D">
        <w:rPr>
          <w:rFonts w:cs="Arial"/>
          <w:sz w:val="16"/>
          <w:szCs w:val="16"/>
        </w:rPr>
        <w:t>para las inversiones</w:t>
      </w:r>
      <w:r w:rsidRPr="4C06314D">
        <w:rPr>
          <w:rFonts w:cs="Arial"/>
          <w:sz w:val="16"/>
          <w:szCs w:val="16"/>
        </w:rPr>
        <w:t xml:space="preserve">. </w:t>
      </w:r>
    </w:p>
    <w:p w14:paraId="3609924F" w14:textId="1E021B0C" w:rsidR="00513EBA" w:rsidRPr="00DA1269" w:rsidRDefault="00513EBA" w:rsidP="00DB1073">
      <w:pPr>
        <w:pBdr>
          <w:left w:val="single" w:sz="4" w:space="1" w:color="auto"/>
        </w:pBdr>
        <w:tabs>
          <w:tab w:val="num" w:pos="720"/>
        </w:tabs>
        <w:rPr>
          <w:rFonts w:cs="Arial"/>
          <w:sz w:val="16"/>
          <w:szCs w:val="16"/>
        </w:rPr>
      </w:pPr>
    </w:p>
    <w:p w14:paraId="2E4472BF" w14:textId="7474186D" w:rsidR="009F6B44" w:rsidRPr="00D72EED" w:rsidRDefault="659CD97B" w:rsidP="00D72EED">
      <w:pPr>
        <w:pBdr>
          <w:left w:val="single" w:sz="4" w:space="1" w:color="auto"/>
        </w:pBdr>
        <w:tabs>
          <w:tab w:val="num" w:pos="720"/>
        </w:tabs>
        <w:rPr>
          <w:rFonts w:cs="Arial"/>
          <w:sz w:val="16"/>
          <w:szCs w:val="16"/>
        </w:rPr>
      </w:pPr>
      <w:r w:rsidRPr="4C06314D">
        <w:rPr>
          <w:rFonts w:cs="Arial"/>
          <w:sz w:val="16"/>
          <w:szCs w:val="16"/>
        </w:rPr>
        <w:t>2.</w:t>
      </w:r>
      <w:r w:rsidR="4F362F21" w:rsidRPr="4C06314D">
        <w:rPr>
          <w:rFonts w:cs="Arial"/>
          <w:sz w:val="16"/>
          <w:szCs w:val="16"/>
        </w:rPr>
        <w:t>19</w:t>
      </w:r>
      <w:r w:rsidRPr="4C06314D">
        <w:rPr>
          <w:rFonts w:cs="Arial"/>
          <w:sz w:val="16"/>
          <w:szCs w:val="16"/>
        </w:rPr>
        <w:t xml:space="preserve">. </w:t>
      </w:r>
      <w:r w:rsidR="009F6B44" w:rsidRPr="00D72EED">
        <w:rPr>
          <w:sz w:val="16"/>
          <w:szCs w:val="16"/>
        </w:rPr>
        <w:t>Asegurar la adecuada asignación de los activos que respaldan las diferentes reservas técnicas de los ramos operados por la entidad aseguradora.</w:t>
      </w:r>
    </w:p>
    <w:p w14:paraId="0A042541" w14:textId="77777777" w:rsidR="51D91BE1" w:rsidRDefault="51D91BE1" w:rsidP="00DB1073">
      <w:pPr>
        <w:pBdr>
          <w:left w:val="single" w:sz="4" w:space="1" w:color="auto"/>
        </w:pBdr>
        <w:rPr>
          <w:rFonts w:cs="Arial"/>
          <w:sz w:val="12"/>
          <w:szCs w:val="12"/>
        </w:rPr>
      </w:pPr>
    </w:p>
    <w:p w14:paraId="152FD363" w14:textId="405BC573" w:rsidR="00513EBA" w:rsidRPr="000564F1" w:rsidRDefault="00513EBA"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2.2</w:t>
      </w:r>
      <w:r w:rsidR="40CDB23C" w:rsidRPr="4C06314D">
        <w:rPr>
          <w:rFonts w:cs="Arial"/>
          <w:sz w:val="16"/>
          <w:szCs w:val="16"/>
        </w:rPr>
        <w:t>0</w:t>
      </w:r>
      <w:r w:rsidRPr="4C06314D">
        <w:rPr>
          <w:rFonts w:cs="Arial"/>
          <w:sz w:val="16"/>
          <w:szCs w:val="16"/>
        </w:rPr>
        <w:t>. Informar a la junta directiva sobre aquellos eventos en los que las participaciones por clase de activos definid</w:t>
      </w:r>
      <w:r w:rsidR="00555868">
        <w:rPr>
          <w:rFonts w:cs="Arial"/>
          <w:sz w:val="16"/>
          <w:szCs w:val="16"/>
        </w:rPr>
        <w:t>a</w:t>
      </w:r>
      <w:r w:rsidRPr="4C06314D">
        <w:rPr>
          <w:rFonts w:cs="Arial"/>
          <w:sz w:val="16"/>
          <w:szCs w:val="16"/>
        </w:rPr>
        <w:t>s en la asignación estratégica de activos se desvíe</w:t>
      </w:r>
      <w:r w:rsidR="00555868">
        <w:rPr>
          <w:rFonts w:cs="Arial"/>
          <w:sz w:val="16"/>
          <w:szCs w:val="16"/>
        </w:rPr>
        <w:t>n</w:t>
      </w:r>
      <w:r w:rsidRPr="4C06314D">
        <w:rPr>
          <w:rFonts w:cs="Arial"/>
          <w:sz w:val="16"/>
          <w:szCs w:val="16"/>
        </w:rPr>
        <w:t xml:space="preserve"> de los rangos aprobados por la misma.</w:t>
      </w:r>
    </w:p>
    <w:p w14:paraId="0C8FE7CE" w14:textId="77777777" w:rsidR="00513EBA" w:rsidRPr="00DA1269" w:rsidRDefault="00513EBA" w:rsidP="00DB1073">
      <w:pPr>
        <w:pBdr>
          <w:left w:val="single" w:sz="4" w:space="1" w:color="auto"/>
        </w:pBdr>
        <w:tabs>
          <w:tab w:val="num" w:pos="720"/>
        </w:tabs>
        <w:autoSpaceDE w:val="0"/>
        <w:autoSpaceDN w:val="0"/>
        <w:adjustRightInd w:val="0"/>
        <w:ind w:left="720" w:hanging="720"/>
        <w:rPr>
          <w:rFonts w:cs="Arial"/>
          <w:sz w:val="12"/>
          <w:szCs w:val="12"/>
        </w:rPr>
      </w:pPr>
    </w:p>
    <w:p w14:paraId="20268E50" w14:textId="720DEB9D" w:rsidR="00513EBA" w:rsidRDefault="00513EBA"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2.2</w:t>
      </w:r>
      <w:r w:rsidR="10B316AD" w:rsidRPr="4C06314D">
        <w:rPr>
          <w:rFonts w:cs="Arial"/>
          <w:sz w:val="16"/>
          <w:szCs w:val="16"/>
        </w:rPr>
        <w:t>1</w:t>
      </w:r>
      <w:r w:rsidRPr="4C06314D">
        <w:rPr>
          <w:rFonts w:cs="Arial"/>
          <w:sz w:val="16"/>
          <w:szCs w:val="16"/>
        </w:rPr>
        <w:t>. Proponer a la junta directiva el procedimiento para evaluar el desempeño en la gestión de las inversiones</w:t>
      </w:r>
      <w:r w:rsidR="3B570DCF" w:rsidRPr="4C06314D">
        <w:rPr>
          <w:rFonts w:cs="Arial"/>
          <w:sz w:val="16"/>
          <w:szCs w:val="16"/>
        </w:rPr>
        <w:t>.</w:t>
      </w:r>
    </w:p>
    <w:p w14:paraId="41004F19" w14:textId="77777777" w:rsidR="00513EBA" w:rsidRPr="00DA1269" w:rsidRDefault="00513EBA" w:rsidP="00DB1073">
      <w:pPr>
        <w:pBdr>
          <w:left w:val="single" w:sz="4" w:space="1" w:color="auto"/>
        </w:pBdr>
        <w:tabs>
          <w:tab w:val="num" w:pos="720"/>
        </w:tabs>
        <w:autoSpaceDE w:val="0"/>
        <w:autoSpaceDN w:val="0"/>
        <w:adjustRightInd w:val="0"/>
        <w:rPr>
          <w:rFonts w:cs="Arial"/>
          <w:sz w:val="12"/>
          <w:szCs w:val="12"/>
        </w:rPr>
      </w:pPr>
    </w:p>
    <w:p w14:paraId="58C8D2D9" w14:textId="26740116" w:rsidR="34F71D38" w:rsidRDefault="00513EBA" w:rsidP="00DB1073">
      <w:pPr>
        <w:pBdr>
          <w:left w:val="single" w:sz="4" w:space="1" w:color="auto"/>
        </w:pBdr>
        <w:tabs>
          <w:tab w:val="num" w:pos="720"/>
        </w:tabs>
        <w:rPr>
          <w:rFonts w:cs="Arial"/>
          <w:sz w:val="16"/>
          <w:szCs w:val="16"/>
        </w:rPr>
      </w:pPr>
      <w:r w:rsidRPr="4C06314D">
        <w:rPr>
          <w:rFonts w:cs="Arial"/>
          <w:sz w:val="16"/>
          <w:szCs w:val="16"/>
        </w:rPr>
        <w:t>2.2</w:t>
      </w:r>
      <w:r w:rsidR="17E6B0BF" w:rsidRPr="4C06314D">
        <w:rPr>
          <w:rFonts w:cs="Arial"/>
          <w:sz w:val="16"/>
          <w:szCs w:val="16"/>
        </w:rPr>
        <w:t>2</w:t>
      </w:r>
      <w:r w:rsidRPr="4C06314D">
        <w:rPr>
          <w:rFonts w:cs="Arial"/>
          <w:sz w:val="16"/>
          <w:szCs w:val="16"/>
        </w:rPr>
        <w:t xml:space="preserve">. Proponer a la junta directiva el procedimiento mediante el cual se evaluará que el riesgo inherente a la asignación estratégica de activos sea coherente con </w:t>
      </w:r>
      <w:r w:rsidR="2D0A8176" w:rsidRPr="4C06314D">
        <w:rPr>
          <w:rFonts w:cs="Arial"/>
          <w:sz w:val="16"/>
          <w:szCs w:val="16"/>
        </w:rPr>
        <w:t xml:space="preserve">el objetivo de la política de inversión, en especial </w:t>
      </w:r>
      <w:r w:rsidR="7B6DDA48" w:rsidRPr="4C06314D">
        <w:rPr>
          <w:rFonts w:cs="Arial"/>
          <w:sz w:val="16"/>
          <w:szCs w:val="16"/>
        </w:rPr>
        <w:t>(i) la naturaleza, duración y moneda subyacentes a las obligaciones por contratos de seguro y reaseguro, (</w:t>
      </w:r>
      <w:proofErr w:type="spellStart"/>
      <w:r w:rsidR="7B6DDA48" w:rsidRPr="4C06314D">
        <w:rPr>
          <w:rFonts w:cs="Arial"/>
          <w:sz w:val="16"/>
          <w:szCs w:val="16"/>
        </w:rPr>
        <w:t>ii</w:t>
      </w:r>
      <w:proofErr w:type="spellEnd"/>
      <w:r w:rsidR="7B6DDA48" w:rsidRPr="4C06314D">
        <w:rPr>
          <w:rFonts w:cs="Arial"/>
          <w:sz w:val="16"/>
          <w:szCs w:val="16"/>
        </w:rPr>
        <w:t>) el calce adecuado de plazo y tasas entre los activos y pasivos, (</w:t>
      </w:r>
      <w:proofErr w:type="spellStart"/>
      <w:r w:rsidR="7B6DDA48" w:rsidRPr="4C06314D">
        <w:rPr>
          <w:rFonts w:cs="Arial"/>
          <w:sz w:val="16"/>
          <w:szCs w:val="16"/>
        </w:rPr>
        <w:t>iii</w:t>
      </w:r>
      <w:proofErr w:type="spellEnd"/>
      <w:r w:rsidR="7B6DDA48" w:rsidRPr="4C06314D">
        <w:rPr>
          <w:rFonts w:cs="Arial"/>
          <w:sz w:val="16"/>
          <w:szCs w:val="16"/>
        </w:rPr>
        <w:t xml:space="preserve">) necesidades de liquidez conforme </w:t>
      </w:r>
      <w:r w:rsidR="00EC017B">
        <w:rPr>
          <w:rFonts w:cs="Arial"/>
          <w:sz w:val="16"/>
          <w:szCs w:val="16"/>
        </w:rPr>
        <w:t xml:space="preserve">al modelo </w:t>
      </w:r>
      <w:r w:rsidR="7B6DDA48" w:rsidRPr="4C06314D">
        <w:rPr>
          <w:rFonts w:cs="Arial"/>
          <w:sz w:val="16"/>
          <w:szCs w:val="16"/>
        </w:rPr>
        <w:t>de negocio y portafolio de riesgos asegurados</w:t>
      </w:r>
      <w:r w:rsidR="7EAEF87D" w:rsidRPr="4C06314D">
        <w:rPr>
          <w:rFonts w:cs="Arial"/>
          <w:sz w:val="16"/>
          <w:szCs w:val="16"/>
        </w:rPr>
        <w:t xml:space="preserve"> y (</w:t>
      </w:r>
      <w:proofErr w:type="spellStart"/>
      <w:r w:rsidR="7EAEF87D" w:rsidRPr="4C06314D">
        <w:rPr>
          <w:rFonts w:cs="Arial"/>
          <w:sz w:val="16"/>
          <w:szCs w:val="16"/>
        </w:rPr>
        <w:t>iv</w:t>
      </w:r>
      <w:proofErr w:type="spellEnd"/>
      <w:r w:rsidR="7EAEF87D" w:rsidRPr="4C06314D">
        <w:rPr>
          <w:rFonts w:cs="Arial"/>
          <w:sz w:val="16"/>
          <w:szCs w:val="16"/>
        </w:rPr>
        <w:t xml:space="preserve">) </w:t>
      </w:r>
      <w:r w:rsidR="7EAEF87D" w:rsidRPr="6EBE7AF1">
        <w:rPr>
          <w:rFonts w:cs="Arial"/>
          <w:sz w:val="16"/>
          <w:szCs w:val="16"/>
        </w:rPr>
        <w:t>diversificación de activos y riesgos</w:t>
      </w:r>
      <w:r w:rsidR="7EAEF87D" w:rsidRPr="4C06314D">
        <w:rPr>
          <w:rFonts w:cs="Arial"/>
          <w:sz w:val="16"/>
          <w:szCs w:val="16"/>
        </w:rPr>
        <w:t>.</w:t>
      </w:r>
    </w:p>
    <w:p w14:paraId="67C0C651" w14:textId="77777777" w:rsidR="00513EBA" w:rsidRPr="00DA1269" w:rsidRDefault="00513EBA" w:rsidP="00DB1073">
      <w:pPr>
        <w:pBdr>
          <w:left w:val="single" w:sz="4" w:space="1" w:color="auto"/>
        </w:pBdr>
        <w:tabs>
          <w:tab w:val="num" w:pos="720"/>
        </w:tabs>
        <w:autoSpaceDE w:val="0"/>
        <w:autoSpaceDN w:val="0"/>
        <w:adjustRightInd w:val="0"/>
        <w:rPr>
          <w:rFonts w:cs="Arial"/>
          <w:sz w:val="12"/>
          <w:szCs w:val="12"/>
        </w:rPr>
      </w:pPr>
    </w:p>
    <w:p w14:paraId="308D56CC" w14:textId="4D8ADEB2" w:rsidR="00513EBA" w:rsidRPr="00DA1269" w:rsidRDefault="00513EBA"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2.2</w:t>
      </w:r>
      <w:r w:rsidR="118B4790" w:rsidRPr="4C06314D">
        <w:rPr>
          <w:rFonts w:cs="Arial"/>
          <w:sz w:val="16"/>
          <w:szCs w:val="16"/>
        </w:rPr>
        <w:t>3</w:t>
      </w:r>
      <w:r w:rsidRPr="4C06314D">
        <w:rPr>
          <w:rFonts w:cs="Arial"/>
          <w:sz w:val="16"/>
          <w:szCs w:val="16"/>
        </w:rPr>
        <w:t>. Presentar a la junta directiva para su aprobación una metodología de alertas tempranas en la cual se determinen los casos en que, por materialización de los riesgos identificados, se deba considerar la revisión de la asignación estratégica de activos.</w:t>
      </w:r>
    </w:p>
    <w:p w14:paraId="76382A54" w14:textId="56329587" w:rsidR="51D91BE1" w:rsidRDefault="51D91BE1" w:rsidP="00DB1073">
      <w:pPr>
        <w:pBdr>
          <w:left w:val="single" w:sz="4" w:space="1" w:color="auto"/>
        </w:pBdr>
        <w:tabs>
          <w:tab w:val="num" w:pos="720"/>
        </w:tabs>
        <w:rPr>
          <w:rFonts w:cs="Arial"/>
          <w:sz w:val="16"/>
          <w:szCs w:val="16"/>
        </w:rPr>
      </w:pPr>
    </w:p>
    <w:p w14:paraId="21F90F89" w14:textId="30E46323" w:rsidR="00513EBA" w:rsidRPr="00222BFB" w:rsidRDefault="00513EBA" w:rsidP="00DB1073">
      <w:pPr>
        <w:pBdr>
          <w:left w:val="single" w:sz="4" w:space="1" w:color="auto"/>
        </w:pBdr>
        <w:tabs>
          <w:tab w:val="num" w:pos="720"/>
        </w:tabs>
        <w:autoSpaceDE w:val="0"/>
        <w:autoSpaceDN w:val="0"/>
        <w:adjustRightInd w:val="0"/>
        <w:rPr>
          <w:rFonts w:cs="Arial"/>
          <w:sz w:val="16"/>
          <w:szCs w:val="16"/>
        </w:rPr>
      </w:pPr>
      <w:r w:rsidRPr="4C06314D">
        <w:rPr>
          <w:rFonts w:cs="Arial"/>
          <w:sz w:val="16"/>
          <w:szCs w:val="16"/>
        </w:rPr>
        <w:t>2</w:t>
      </w:r>
      <w:r w:rsidRPr="00222BFB">
        <w:rPr>
          <w:rFonts w:cs="Arial"/>
          <w:sz w:val="16"/>
          <w:szCs w:val="16"/>
        </w:rPr>
        <w:t>.2</w:t>
      </w:r>
      <w:r w:rsidR="1D23D239" w:rsidRPr="00222BFB">
        <w:rPr>
          <w:rFonts w:cs="Arial"/>
          <w:sz w:val="16"/>
          <w:szCs w:val="16"/>
        </w:rPr>
        <w:t>4</w:t>
      </w:r>
      <w:r w:rsidRPr="00222BFB">
        <w:rPr>
          <w:rFonts w:cs="Arial"/>
          <w:sz w:val="16"/>
          <w:szCs w:val="16"/>
        </w:rPr>
        <w:t xml:space="preserve">. Las demás que le asigne la junta directiva de la </w:t>
      </w:r>
      <w:r w:rsidR="50EEF23E" w:rsidRPr="00222BFB">
        <w:rPr>
          <w:rFonts w:cs="Arial"/>
          <w:sz w:val="16"/>
          <w:szCs w:val="16"/>
        </w:rPr>
        <w:t>entidad aseguradora</w:t>
      </w:r>
      <w:r w:rsidR="3B570DCF" w:rsidRPr="00222BFB">
        <w:rPr>
          <w:rFonts w:cs="Arial"/>
          <w:sz w:val="16"/>
          <w:szCs w:val="16"/>
        </w:rPr>
        <w:t>.</w:t>
      </w:r>
    </w:p>
    <w:p w14:paraId="26A37D46" w14:textId="77777777" w:rsidR="00BE4A69" w:rsidRPr="00222BFB" w:rsidRDefault="00BE4A69" w:rsidP="00DB1073">
      <w:pPr>
        <w:pStyle w:val="Ttulo1"/>
        <w:pBdr>
          <w:left w:val="single" w:sz="4" w:space="1" w:color="auto"/>
        </w:pBdr>
        <w:spacing w:before="0" w:after="0"/>
        <w:rPr>
          <w:caps/>
        </w:rPr>
      </w:pPr>
      <w:bookmarkStart w:id="9" w:name="_Toc267211382"/>
    </w:p>
    <w:p w14:paraId="3627BF7C" w14:textId="53548479" w:rsidR="00BE4A69" w:rsidRPr="00222BFB" w:rsidRDefault="00BE4A69" w:rsidP="00DB1073">
      <w:pPr>
        <w:pStyle w:val="Ttulo1"/>
        <w:pBdr>
          <w:left w:val="single" w:sz="4" w:space="1" w:color="auto"/>
        </w:pBdr>
        <w:spacing w:before="0" w:after="0"/>
        <w:rPr>
          <w:caps/>
        </w:rPr>
      </w:pPr>
      <w:r w:rsidRPr="00222BFB">
        <w:rPr>
          <w:caps/>
        </w:rPr>
        <w:t>3</w:t>
      </w:r>
      <w:r w:rsidR="00BC0132" w:rsidRPr="00222BFB">
        <w:rPr>
          <w:caps/>
        </w:rPr>
        <w:t>.</w:t>
      </w:r>
      <w:r w:rsidRPr="00222BFB">
        <w:rPr>
          <w:caps/>
        </w:rPr>
        <w:t xml:space="preserve"> </w:t>
      </w:r>
      <w:r w:rsidR="00BC0132" w:rsidRPr="00222BFB">
        <w:t>Funciones de la auditoría interna</w:t>
      </w:r>
    </w:p>
    <w:p w14:paraId="181EF023" w14:textId="77777777" w:rsidR="00347035" w:rsidRPr="00347035" w:rsidRDefault="00347035" w:rsidP="00DB1073">
      <w:pPr>
        <w:pBdr>
          <w:left w:val="single" w:sz="4" w:space="1" w:color="auto"/>
        </w:pBdr>
      </w:pPr>
    </w:p>
    <w:p w14:paraId="541CAB2F" w14:textId="4195C3B7" w:rsidR="3AE9ACEC" w:rsidRDefault="3AE9ACEC" w:rsidP="00DB1073">
      <w:pPr>
        <w:pBdr>
          <w:left w:val="single" w:sz="4" w:space="1" w:color="auto"/>
        </w:pBdr>
        <w:rPr>
          <w:rFonts w:cs="Arial"/>
          <w:sz w:val="16"/>
          <w:szCs w:val="16"/>
        </w:rPr>
      </w:pPr>
      <w:r w:rsidRPr="73377CA0">
        <w:rPr>
          <w:rFonts w:cs="Arial"/>
          <w:sz w:val="16"/>
          <w:szCs w:val="16"/>
        </w:rPr>
        <w:t>Serán funciones de la auditor</w:t>
      </w:r>
      <w:r w:rsidR="00023B92" w:rsidRPr="73377CA0">
        <w:rPr>
          <w:rFonts w:cs="Arial"/>
          <w:sz w:val="16"/>
          <w:szCs w:val="16"/>
        </w:rPr>
        <w:t>í</w:t>
      </w:r>
      <w:r w:rsidRPr="73377CA0">
        <w:rPr>
          <w:rFonts w:cs="Arial"/>
          <w:sz w:val="16"/>
          <w:szCs w:val="16"/>
        </w:rPr>
        <w:t>a interna de la entidad aseguradora, en relación con la política de inversión, las siguientes:</w:t>
      </w:r>
    </w:p>
    <w:p w14:paraId="6FC97F84" w14:textId="00E7AA62" w:rsidR="00347035" w:rsidRPr="00347035" w:rsidRDefault="00347035" w:rsidP="00DB1073">
      <w:pPr>
        <w:pBdr>
          <w:left w:val="single" w:sz="4" w:space="1" w:color="auto"/>
        </w:pBdr>
        <w:rPr>
          <w:rFonts w:cs="Arial"/>
          <w:sz w:val="16"/>
          <w:szCs w:val="16"/>
        </w:rPr>
      </w:pPr>
    </w:p>
    <w:p w14:paraId="221CE97D" w14:textId="7AD275AD" w:rsidR="00BE4A69" w:rsidRPr="001B46C3" w:rsidRDefault="00222BFB" w:rsidP="00DB1073">
      <w:pPr>
        <w:pBdr>
          <w:left w:val="single" w:sz="4" w:space="1" w:color="auto"/>
        </w:pBdr>
        <w:rPr>
          <w:rFonts w:cs="Arial"/>
          <w:sz w:val="16"/>
          <w:szCs w:val="16"/>
        </w:rPr>
      </w:pPr>
      <w:r>
        <w:rPr>
          <w:rFonts w:cs="Arial"/>
          <w:sz w:val="16"/>
          <w:szCs w:val="16"/>
        </w:rPr>
        <w:t>3</w:t>
      </w:r>
      <w:r w:rsidR="3AE9ACEC" w:rsidRPr="73377CA0">
        <w:rPr>
          <w:rFonts w:cs="Arial"/>
          <w:sz w:val="16"/>
          <w:szCs w:val="16"/>
        </w:rPr>
        <w:t>.1</w:t>
      </w:r>
      <w:r w:rsidR="262F7ACC" w:rsidRPr="73377CA0">
        <w:rPr>
          <w:rFonts w:cs="Arial"/>
          <w:sz w:val="16"/>
          <w:szCs w:val="16"/>
        </w:rPr>
        <w:t xml:space="preserve"> </w:t>
      </w:r>
      <w:r w:rsidR="00BE4A69" w:rsidRPr="73377CA0">
        <w:rPr>
          <w:rFonts w:cs="Arial"/>
          <w:sz w:val="16"/>
          <w:szCs w:val="16"/>
        </w:rPr>
        <w:t>Evaluar</w:t>
      </w:r>
      <w:r w:rsidR="2B60E2EC" w:rsidRPr="73377CA0">
        <w:rPr>
          <w:rFonts w:cs="Arial"/>
          <w:sz w:val="16"/>
          <w:szCs w:val="16"/>
        </w:rPr>
        <w:t xml:space="preserve"> al menos una vez al año </w:t>
      </w:r>
      <w:r w:rsidR="00BE4A69" w:rsidRPr="73377CA0">
        <w:rPr>
          <w:rFonts w:cs="Arial"/>
          <w:sz w:val="16"/>
          <w:szCs w:val="16"/>
        </w:rPr>
        <w:t>el cumplimiento de la política de inversión o cuando se presenten situaciones que requieran su revisión e informar a</w:t>
      </w:r>
      <w:r w:rsidR="00FA5F76" w:rsidRPr="73377CA0">
        <w:rPr>
          <w:rFonts w:cs="Arial"/>
          <w:sz w:val="16"/>
          <w:szCs w:val="16"/>
        </w:rPr>
        <w:t>l comité de r</w:t>
      </w:r>
      <w:r w:rsidR="00BE4A69" w:rsidRPr="73377CA0">
        <w:rPr>
          <w:rFonts w:cs="Arial"/>
          <w:sz w:val="16"/>
          <w:szCs w:val="16"/>
        </w:rPr>
        <w:t xml:space="preserve">iesgos, al representante legal, al comité de auditoría y a la </w:t>
      </w:r>
      <w:r w:rsidR="00884E64">
        <w:rPr>
          <w:rFonts w:cs="Arial"/>
          <w:sz w:val="16"/>
          <w:szCs w:val="16"/>
        </w:rPr>
        <w:t>junta directiva</w:t>
      </w:r>
      <w:r w:rsidR="00BE4A69" w:rsidRPr="73377CA0">
        <w:rPr>
          <w:rFonts w:cs="Arial"/>
          <w:sz w:val="16"/>
          <w:szCs w:val="16"/>
        </w:rPr>
        <w:t xml:space="preserve"> los resultados de dicha evaluación</w:t>
      </w:r>
      <w:r w:rsidR="0034328F">
        <w:rPr>
          <w:rFonts w:cs="Arial"/>
          <w:sz w:val="16"/>
          <w:szCs w:val="16"/>
        </w:rPr>
        <w:t>.</w:t>
      </w:r>
    </w:p>
    <w:p w14:paraId="6E579001" w14:textId="13E1DA89" w:rsidR="00BE4A69" w:rsidRPr="001B46C3" w:rsidRDefault="00BE4A69" w:rsidP="00DB1073">
      <w:pPr>
        <w:pStyle w:val="Textocomentario"/>
        <w:pBdr>
          <w:left w:val="single" w:sz="4" w:space="1" w:color="auto"/>
        </w:pBdr>
        <w:rPr>
          <w:rFonts w:cs="Arial"/>
          <w:sz w:val="16"/>
          <w:szCs w:val="16"/>
        </w:rPr>
      </w:pPr>
    </w:p>
    <w:p w14:paraId="71887C79" w14:textId="5A2DB866" w:rsidR="00D676DD" w:rsidRPr="00222BFB" w:rsidRDefault="7B58FD4C" w:rsidP="007F64D6">
      <w:pPr>
        <w:pStyle w:val="Textocomentario"/>
        <w:pBdr>
          <w:left w:val="single" w:sz="4" w:space="1" w:color="auto"/>
        </w:pBdr>
        <w:rPr>
          <w:sz w:val="16"/>
          <w:szCs w:val="16"/>
        </w:rPr>
      </w:pPr>
      <w:r w:rsidRPr="73377CA0">
        <w:rPr>
          <w:rFonts w:cs="Arial"/>
          <w:sz w:val="16"/>
          <w:szCs w:val="16"/>
          <w:lang w:val="es-CO" w:eastAsia="es-CO"/>
        </w:rPr>
        <w:t xml:space="preserve">3.2 </w:t>
      </w:r>
      <w:r w:rsidR="00BE4A69" w:rsidRPr="73377CA0">
        <w:rPr>
          <w:rFonts w:cs="Arial"/>
          <w:sz w:val="16"/>
          <w:szCs w:val="16"/>
          <w:lang w:val="es-CO" w:eastAsia="es-CO"/>
        </w:rPr>
        <w:t xml:space="preserve">Realizar el seguimiento a las recomendaciones o fallas identificadas en la </w:t>
      </w:r>
      <w:r w:rsidR="00347035" w:rsidRPr="73377CA0">
        <w:rPr>
          <w:rFonts w:cs="Arial"/>
          <w:sz w:val="16"/>
          <w:szCs w:val="16"/>
          <w:lang w:val="es-CO" w:eastAsia="es-CO"/>
        </w:rPr>
        <w:t>política de inversión y la asignación estratégica de activos</w:t>
      </w:r>
      <w:r w:rsidR="00BE4A69" w:rsidRPr="73377CA0">
        <w:rPr>
          <w:rFonts w:cs="Arial"/>
          <w:sz w:val="16"/>
          <w:szCs w:val="16"/>
          <w:lang w:val="es-CO" w:eastAsia="es-CO"/>
        </w:rPr>
        <w:t xml:space="preserve"> que resulten de la propia auditoría interna, así como de los planes de acción</w:t>
      </w:r>
      <w:r w:rsidR="00DB7F82">
        <w:rPr>
          <w:rFonts w:cs="Arial"/>
          <w:sz w:val="16"/>
          <w:szCs w:val="16"/>
          <w:lang w:val="es-CO" w:eastAsia="es-CO"/>
        </w:rPr>
        <w:t xml:space="preserve"> y</w:t>
      </w:r>
      <w:r w:rsidR="00CA77BD">
        <w:rPr>
          <w:rFonts w:cs="Arial"/>
          <w:sz w:val="16"/>
          <w:szCs w:val="16"/>
          <w:lang w:val="es-CO" w:eastAsia="es-CO"/>
        </w:rPr>
        <w:t xml:space="preserve"> </w:t>
      </w:r>
      <w:r w:rsidR="00BE4A69" w:rsidRPr="73377CA0">
        <w:rPr>
          <w:rFonts w:cs="Arial"/>
          <w:sz w:val="16"/>
          <w:szCs w:val="16"/>
          <w:lang w:val="es-CO" w:eastAsia="es-CO"/>
        </w:rPr>
        <w:t>medidas adoptadas por la entidad</w:t>
      </w:r>
      <w:r w:rsidR="00A41155">
        <w:rPr>
          <w:rFonts w:cs="Arial"/>
          <w:sz w:val="16"/>
          <w:szCs w:val="16"/>
          <w:lang w:val="es-CO" w:eastAsia="es-CO"/>
        </w:rPr>
        <w:t>.</w:t>
      </w:r>
      <w:r w:rsidR="00B42A33">
        <w:rPr>
          <w:rFonts w:cs="Arial"/>
          <w:sz w:val="16"/>
          <w:szCs w:val="16"/>
          <w:lang w:val="es-CO" w:eastAsia="es-CO"/>
        </w:rPr>
        <w:t xml:space="preserve"> Igualmente</w:t>
      </w:r>
      <w:r w:rsidR="007F64D6">
        <w:rPr>
          <w:rFonts w:cs="Arial"/>
          <w:sz w:val="16"/>
          <w:szCs w:val="16"/>
          <w:lang w:val="es-CO" w:eastAsia="es-CO"/>
        </w:rPr>
        <w:t xml:space="preserve">, realizar el seguimiento </w:t>
      </w:r>
      <w:bookmarkEnd w:id="9"/>
      <w:r w:rsidR="00792701">
        <w:rPr>
          <w:rFonts w:cs="Arial"/>
          <w:sz w:val="16"/>
          <w:szCs w:val="16"/>
          <w:lang w:val="es-CO" w:eastAsia="es-CO"/>
        </w:rPr>
        <w:t xml:space="preserve">a las </w:t>
      </w:r>
      <w:r w:rsidR="00010D10">
        <w:rPr>
          <w:rFonts w:cs="Arial"/>
          <w:sz w:val="16"/>
          <w:szCs w:val="16"/>
          <w:lang w:val="es-CO" w:eastAsia="es-CO"/>
        </w:rPr>
        <w:t>órdenes</w:t>
      </w:r>
      <w:r w:rsidR="00792701">
        <w:rPr>
          <w:rFonts w:cs="Arial"/>
          <w:sz w:val="16"/>
          <w:szCs w:val="16"/>
          <w:lang w:val="es-CO" w:eastAsia="es-CO"/>
        </w:rPr>
        <w:t xml:space="preserve"> que le imparta la SFC.</w:t>
      </w:r>
    </w:p>
    <w:sectPr w:rsidR="00D676DD" w:rsidRPr="00222BFB" w:rsidSect="00222BFB">
      <w:headerReference w:type="default" r:id="rId11"/>
      <w:footerReference w:type="even" r:id="rId12"/>
      <w:footerReference w:type="default" r:id="rId13"/>
      <w:headerReference w:type="first" r:id="rId14"/>
      <w:footerReference w:type="first" r:id="rId15"/>
      <w:pgSz w:w="12242" w:h="20163" w:code="120"/>
      <w:pgMar w:top="1418" w:right="1469" w:bottom="1418" w:left="1701" w:header="740" w:footer="1134" w:gutter="0"/>
      <w:pgNumType w:start="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69C27" w14:textId="77777777" w:rsidR="0012274F" w:rsidRDefault="0012274F" w:rsidP="00054624">
      <w:r>
        <w:separator/>
      </w:r>
    </w:p>
  </w:endnote>
  <w:endnote w:type="continuationSeparator" w:id="0">
    <w:p w14:paraId="5DF02971" w14:textId="77777777" w:rsidR="0012274F" w:rsidRDefault="0012274F" w:rsidP="00054624">
      <w:r>
        <w:continuationSeparator/>
      </w:r>
    </w:p>
  </w:endnote>
  <w:endnote w:type="continuationNotice" w:id="1">
    <w:p w14:paraId="088B69BC" w14:textId="77777777" w:rsidR="0012274F" w:rsidRDefault="00122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C1BD3" w14:textId="5D51AE6A" w:rsidR="00222BFB" w:rsidRDefault="00222BFB" w:rsidP="00222BFB">
    <w:pPr>
      <w:pStyle w:val="Piedepgina"/>
      <w:tabs>
        <w:tab w:val="right" w:pos="8789"/>
      </w:tabs>
      <w:rPr>
        <w:b/>
        <w:szCs w:val="18"/>
      </w:rPr>
    </w:pPr>
    <w:r w:rsidRPr="00F0227F">
      <w:rPr>
        <w:b/>
        <w:lang w:val="pt-BR"/>
      </w:rPr>
      <w:t xml:space="preserve">PARTE II </w:t>
    </w:r>
    <w:r>
      <w:rPr>
        <w:b/>
        <w:lang w:val="pt-BR"/>
      </w:rPr>
      <w:t>– TÍTULO IV</w:t>
    </w:r>
    <w:r w:rsidRPr="00F0227F">
      <w:rPr>
        <w:b/>
        <w:lang w:val="pt-BR"/>
      </w:rPr>
      <w:t xml:space="preserve"> </w:t>
    </w:r>
    <w:r>
      <w:rPr>
        <w:b/>
        <w:lang w:val="pt-BR"/>
      </w:rPr>
      <w:t>–</w:t>
    </w:r>
    <w:r w:rsidRPr="00F0227F">
      <w:rPr>
        <w:b/>
        <w:lang w:val="pt-BR"/>
      </w:rPr>
      <w:t xml:space="preserve"> </w:t>
    </w:r>
    <w:r>
      <w:rPr>
        <w:b/>
        <w:lang w:val="pt-BR"/>
      </w:rPr>
      <w:t>ANEXO 15</w:t>
    </w:r>
    <w:r>
      <w:rPr>
        <w:b/>
        <w:szCs w:val="18"/>
      </w:rPr>
      <w:tab/>
    </w:r>
    <w:r>
      <w:rPr>
        <w:b/>
        <w:szCs w:val="18"/>
      </w:rPr>
      <w:tab/>
      <w:t xml:space="preserve">   PÁGINA 3</w:t>
    </w:r>
  </w:p>
  <w:p w14:paraId="36D7D306" w14:textId="70CF595A" w:rsidR="0002014B" w:rsidRDefault="00222BFB">
    <w:pPr>
      <w:pStyle w:val="Piedepgina"/>
    </w:pPr>
    <w:r>
      <w:rPr>
        <w:b/>
        <w:szCs w:val="18"/>
      </w:rPr>
      <w:t>Circular Externa XXX de 2021</w:t>
    </w:r>
    <w:r>
      <w:rPr>
        <w:b/>
        <w:szCs w:val="18"/>
      </w:rPr>
      <w:tab/>
      <w:t xml:space="preserve">                                                                                                      XXXX 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2BFBF" w14:textId="472F4321" w:rsidR="00222BFB" w:rsidRDefault="00222BFB" w:rsidP="00222BFB">
    <w:pPr>
      <w:pStyle w:val="Piedepgina"/>
      <w:tabs>
        <w:tab w:val="right" w:pos="8789"/>
      </w:tabs>
      <w:rPr>
        <w:b/>
        <w:szCs w:val="18"/>
      </w:rPr>
    </w:pPr>
    <w:r w:rsidRPr="00F0227F">
      <w:rPr>
        <w:b/>
        <w:lang w:val="pt-BR"/>
      </w:rPr>
      <w:t xml:space="preserve">PARTE II </w:t>
    </w:r>
    <w:r>
      <w:rPr>
        <w:b/>
        <w:lang w:val="pt-BR"/>
      </w:rPr>
      <w:t>– TÍTULO IV</w:t>
    </w:r>
    <w:r w:rsidRPr="00F0227F">
      <w:rPr>
        <w:b/>
        <w:lang w:val="pt-BR"/>
      </w:rPr>
      <w:t xml:space="preserve"> </w:t>
    </w:r>
    <w:r>
      <w:rPr>
        <w:b/>
        <w:lang w:val="pt-BR"/>
      </w:rPr>
      <w:t>–</w:t>
    </w:r>
    <w:r w:rsidRPr="00F0227F">
      <w:rPr>
        <w:b/>
        <w:lang w:val="pt-BR"/>
      </w:rPr>
      <w:t xml:space="preserve"> </w:t>
    </w:r>
    <w:r>
      <w:rPr>
        <w:b/>
        <w:lang w:val="pt-BR"/>
      </w:rPr>
      <w:t>ANEXO 15</w:t>
    </w:r>
    <w:r>
      <w:rPr>
        <w:b/>
        <w:szCs w:val="18"/>
      </w:rPr>
      <w:tab/>
    </w:r>
    <w:r>
      <w:rPr>
        <w:b/>
        <w:szCs w:val="18"/>
      </w:rPr>
      <w:tab/>
      <w:t xml:space="preserve">   PÁGINA 2</w:t>
    </w:r>
  </w:p>
  <w:p w14:paraId="50BAA771" w14:textId="7D170200" w:rsidR="00222BFB" w:rsidRDefault="00222BFB">
    <w:pPr>
      <w:pStyle w:val="Piedepgina"/>
    </w:pPr>
    <w:r>
      <w:rPr>
        <w:b/>
        <w:szCs w:val="18"/>
      </w:rPr>
      <w:t>Circular Externa XXX de 2021</w:t>
    </w:r>
    <w:r>
      <w:rPr>
        <w:b/>
        <w:szCs w:val="18"/>
      </w:rPr>
      <w:tab/>
      <w:t xml:space="preserve">                                                                                                      XXXX de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39055" w14:textId="40D226B4" w:rsidR="00222BFB" w:rsidRDefault="00222BFB" w:rsidP="00222BFB">
    <w:pPr>
      <w:pStyle w:val="Piedepgina"/>
      <w:tabs>
        <w:tab w:val="right" w:pos="8789"/>
      </w:tabs>
      <w:rPr>
        <w:b/>
        <w:szCs w:val="18"/>
      </w:rPr>
    </w:pPr>
    <w:r w:rsidRPr="00F0227F">
      <w:rPr>
        <w:b/>
        <w:lang w:val="pt-BR"/>
      </w:rPr>
      <w:t xml:space="preserve">PARTE II </w:t>
    </w:r>
    <w:r>
      <w:rPr>
        <w:b/>
        <w:lang w:val="pt-BR"/>
      </w:rPr>
      <w:t>– TÍTULO IV</w:t>
    </w:r>
    <w:r w:rsidRPr="00F0227F">
      <w:rPr>
        <w:b/>
        <w:lang w:val="pt-BR"/>
      </w:rPr>
      <w:t xml:space="preserve"> </w:t>
    </w:r>
    <w:r>
      <w:rPr>
        <w:b/>
        <w:lang w:val="pt-BR"/>
      </w:rPr>
      <w:t>–</w:t>
    </w:r>
    <w:r w:rsidRPr="00F0227F">
      <w:rPr>
        <w:b/>
        <w:lang w:val="pt-BR"/>
      </w:rPr>
      <w:t xml:space="preserve"> </w:t>
    </w:r>
    <w:r>
      <w:rPr>
        <w:b/>
        <w:lang w:val="pt-BR"/>
      </w:rPr>
      <w:t>ANEXO 15</w:t>
    </w:r>
    <w:r>
      <w:rPr>
        <w:b/>
        <w:szCs w:val="18"/>
      </w:rPr>
      <w:tab/>
    </w:r>
    <w:r>
      <w:rPr>
        <w:b/>
        <w:szCs w:val="18"/>
      </w:rPr>
      <w:tab/>
      <w:t xml:space="preserve">   PÁGINA 1</w:t>
    </w:r>
  </w:p>
  <w:p w14:paraId="2B772D42" w14:textId="62B50BCE" w:rsidR="00222BFB" w:rsidRDefault="00222BFB" w:rsidP="00222BFB">
    <w:pPr>
      <w:pStyle w:val="Piedepgina"/>
    </w:pPr>
    <w:r>
      <w:rPr>
        <w:b/>
        <w:szCs w:val="18"/>
      </w:rPr>
      <w:t>Circular Externa XXX de 2021</w:t>
    </w:r>
    <w:r>
      <w:rPr>
        <w:b/>
        <w:szCs w:val="18"/>
      </w:rPr>
      <w:tab/>
      <w:t xml:space="preserve">                                                                                                      XXXX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BD8EB" w14:textId="77777777" w:rsidR="0012274F" w:rsidRDefault="0012274F" w:rsidP="00054624">
      <w:r>
        <w:separator/>
      </w:r>
    </w:p>
  </w:footnote>
  <w:footnote w:type="continuationSeparator" w:id="0">
    <w:p w14:paraId="5408795B" w14:textId="77777777" w:rsidR="0012274F" w:rsidRDefault="0012274F" w:rsidP="00054624">
      <w:r>
        <w:continuationSeparator/>
      </w:r>
    </w:p>
  </w:footnote>
  <w:footnote w:type="continuationNotice" w:id="1">
    <w:p w14:paraId="63D0C622" w14:textId="77777777" w:rsidR="0012274F" w:rsidRDefault="001227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66476" w14:textId="1EB96559" w:rsidR="0002014B" w:rsidRDefault="00222BFB" w:rsidP="00222BFB">
    <w:pPr>
      <w:pStyle w:val="Encabezado"/>
      <w:jc w:val="center"/>
    </w:pPr>
    <w:r w:rsidRPr="00492483">
      <w:rPr>
        <w:b/>
        <w:sz w:val="24"/>
        <w:szCs w:val="24"/>
      </w:rPr>
      <w:t>SUPERINTENDENCIA FINANCIERA DE COLOMBIA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1DF67" w14:textId="473DC1C6" w:rsidR="0002014B" w:rsidRPr="00222BFB" w:rsidRDefault="00222BFB" w:rsidP="00222BFB">
    <w:pPr>
      <w:pStyle w:val="Encabezado"/>
      <w:jc w:val="center"/>
      <w:rPr>
        <w:b/>
        <w:sz w:val="24"/>
        <w:szCs w:val="24"/>
      </w:rPr>
    </w:pPr>
    <w:r w:rsidRPr="00492483">
      <w:rPr>
        <w:b/>
        <w:sz w:val="24"/>
        <w:szCs w:val="24"/>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5AEA58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7033F6"/>
    <w:multiLevelType w:val="multilevel"/>
    <w:tmpl w:val="A3F8DBB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abstractNum w:abstractNumId="2" w15:restartNumberingAfterBreak="0">
    <w:nsid w:val="62F22BB5"/>
    <w:multiLevelType w:val="hybridMultilevel"/>
    <w:tmpl w:val="DCDC5D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3B013C8"/>
    <w:multiLevelType w:val="hybridMultilevel"/>
    <w:tmpl w:val="6A56F74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2"/>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73A"/>
    <w:rsid w:val="00000C22"/>
    <w:rsid w:val="00005141"/>
    <w:rsid w:val="00006221"/>
    <w:rsid w:val="00010C15"/>
    <w:rsid w:val="00010D10"/>
    <w:rsid w:val="000147B2"/>
    <w:rsid w:val="00017C0A"/>
    <w:rsid w:val="0002014B"/>
    <w:rsid w:val="00023B92"/>
    <w:rsid w:val="00032921"/>
    <w:rsid w:val="00035D06"/>
    <w:rsid w:val="0004785E"/>
    <w:rsid w:val="000539A4"/>
    <w:rsid w:val="000539D2"/>
    <w:rsid w:val="00054624"/>
    <w:rsid w:val="000564F1"/>
    <w:rsid w:val="0006001A"/>
    <w:rsid w:val="00060286"/>
    <w:rsid w:val="00064EAB"/>
    <w:rsid w:val="00071C25"/>
    <w:rsid w:val="000722E1"/>
    <w:rsid w:val="00077DF8"/>
    <w:rsid w:val="00083FAF"/>
    <w:rsid w:val="00084E0E"/>
    <w:rsid w:val="000902AC"/>
    <w:rsid w:val="00094501"/>
    <w:rsid w:val="0009510D"/>
    <w:rsid w:val="000B15C5"/>
    <w:rsid w:val="000C3B59"/>
    <w:rsid w:val="000C531B"/>
    <w:rsid w:val="000C5899"/>
    <w:rsid w:val="000D57A1"/>
    <w:rsid w:val="000D67EA"/>
    <w:rsid w:val="000E1909"/>
    <w:rsid w:val="000E4104"/>
    <w:rsid w:val="000E6102"/>
    <w:rsid w:val="000F0C19"/>
    <w:rsid w:val="000F1182"/>
    <w:rsid w:val="000F2910"/>
    <w:rsid w:val="00100AC8"/>
    <w:rsid w:val="00101089"/>
    <w:rsid w:val="00102B39"/>
    <w:rsid w:val="00103AF3"/>
    <w:rsid w:val="00105A84"/>
    <w:rsid w:val="00105F02"/>
    <w:rsid w:val="001117BE"/>
    <w:rsid w:val="00112576"/>
    <w:rsid w:val="00116FB9"/>
    <w:rsid w:val="0012274F"/>
    <w:rsid w:val="00124345"/>
    <w:rsid w:val="0013535E"/>
    <w:rsid w:val="00135C92"/>
    <w:rsid w:val="00136167"/>
    <w:rsid w:val="00143CE2"/>
    <w:rsid w:val="0014436D"/>
    <w:rsid w:val="00144385"/>
    <w:rsid w:val="00155F58"/>
    <w:rsid w:val="00164D3E"/>
    <w:rsid w:val="00167306"/>
    <w:rsid w:val="00170D24"/>
    <w:rsid w:val="00172E5E"/>
    <w:rsid w:val="00173DFE"/>
    <w:rsid w:val="001741AE"/>
    <w:rsid w:val="00180CCB"/>
    <w:rsid w:val="00185EFC"/>
    <w:rsid w:val="001910AF"/>
    <w:rsid w:val="0019121E"/>
    <w:rsid w:val="00192D9E"/>
    <w:rsid w:val="00194F69"/>
    <w:rsid w:val="0019681A"/>
    <w:rsid w:val="001A0A3C"/>
    <w:rsid w:val="001A1A3B"/>
    <w:rsid w:val="001A39E8"/>
    <w:rsid w:val="001A4BF9"/>
    <w:rsid w:val="001A5272"/>
    <w:rsid w:val="001A5A19"/>
    <w:rsid w:val="001B1914"/>
    <w:rsid w:val="001B4E21"/>
    <w:rsid w:val="001C0EE5"/>
    <w:rsid w:val="001C1169"/>
    <w:rsid w:val="001C62D9"/>
    <w:rsid w:val="001C6EAB"/>
    <w:rsid w:val="001D37C6"/>
    <w:rsid w:val="001D4C2E"/>
    <w:rsid w:val="001F0FE7"/>
    <w:rsid w:val="001F206F"/>
    <w:rsid w:val="002003FB"/>
    <w:rsid w:val="002030B7"/>
    <w:rsid w:val="00203ADD"/>
    <w:rsid w:val="0020409F"/>
    <w:rsid w:val="00204AEB"/>
    <w:rsid w:val="00212ECA"/>
    <w:rsid w:val="002224C4"/>
    <w:rsid w:val="00222BFB"/>
    <w:rsid w:val="00223108"/>
    <w:rsid w:val="00223287"/>
    <w:rsid w:val="00226E27"/>
    <w:rsid w:val="00227574"/>
    <w:rsid w:val="00232702"/>
    <w:rsid w:val="002330A0"/>
    <w:rsid w:val="002346BF"/>
    <w:rsid w:val="0024066E"/>
    <w:rsid w:val="0024093A"/>
    <w:rsid w:val="00255136"/>
    <w:rsid w:val="002561F0"/>
    <w:rsid w:val="0026039B"/>
    <w:rsid w:val="0026310E"/>
    <w:rsid w:val="00263E31"/>
    <w:rsid w:val="0026428D"/>
    <w:rsid w:val="002657CE"/>
    <w:rsid w:val="00281D37"/>
    <w:rsid w:val="00281FB2"/>
    <w:rsid w:val="002841BF"/>
    <w:rsid w:val="00285E5A"/>
    <w:rsid w:val="00287B2F"/>
    <w:rsid w:val="0029050C"/>
    <w:rsid w:val="00291EDC"/>
    <w:rsid w:val="00291FF6"/>
    <w:rsid w:val="002947BB"/>
    <w:rsid w:val="00297166"/>
    <w:rsid w:val="002A3D8E"/>
    <w:rsid w:val="002A4F18"/>
    <w:rsid w:val="002A6A85"/>
    <w:rsid w:val="002B1AB0"/>
    <w:rsid w:val="002B7014"/>
    <w:rsid w:val="002B7D52"/>
    <w:rsid w:val="002C1AD6"/>
    <w:rsid w:val="002C2906"/>
    <w:rsid w:val="002D3402"/>
    <w:rsid w:val="002D3770"/>
    <w:rsid w:val="002E0FF9"/>
    <w:rsid w:val="002E2187"/>
    <w:rsid w:val="002E3F2B"/>
    <w:rsid w:val="002E5DBF"/>
    <w:rsid w:val="002E6570"/>
    <w:rsid w:val="002E748D"/>
    <w:rsid w:val="002F0C6C"/>
    <w:rsid w:val="002F0D22"/>
    <w:rsid w:val="002F671D"/>
    <w:rsid w:val="00302D92"/>
    <w:rsid w:val="003031C4"/>
    <w:rsid w:val="003132E6"/>
    <w:rsid w:val="00314477"/>
    <w:rsid w:val="00320F78"/>
    <w:rsid w:val="0032226D"/>
    <w:rsid w:val="003222E6"/>
    <w:rsid w:val="00322504"/>
    <w:rsid w:val="003231CA"/>
    <w:rsid w:val="00324239"/>
    <w:rsid w:val="00327DCD"/>
    <w:rsid w:val="003335A6"/>
    <w:rsid w:val="00335915"/>
    <w:rsid w:val="00341DB3"/>
    <w:rsid w:val="0034328F"/>
    <w:rsid w:val="00347035"/>
    <w:rsid w:val="00351359"/>
    <w:rsid w:val="00351CD1"/>
    <w:rsid w:val="00352CF4"/>
    <w:rsid w:val="00365F9A"/>
    <w:rsid w:val="0037030B"/>
    <w:rsid w:val="00373061"/>
    <w:rsid w:val="00374639"/>
    <w:rsid w:val="00377841"/>
    <w:rsid w:val="00383F1D"/>
    <w:rsid w:val="003975D8"/>
    <w:rsid w:val="003A10C2"/>
    <w:rsid w:val="003A399E"/>
    <w:rsid w:val="003A482D"/>
    <w:rsid w:val="003A574E"/>
    <w:rsid w:val="003B6AED"/>
    <w:rsid w:val="003C66E6"/>
    <w:rsid w:val="003D1571"/>
    <w:rsid w:val="003E2DB0"/>
    <w:rsid w:val="003E42E4"/>
    <w:rsid w:val="003E6775"/>
    <w:rsid w:val="003F13E2"/>
    <w:rsid w:val="003F1B0B"/>
    <w:rsid w:val="003F32A2"/>
    <w:rsid w:val="003F3F95"/>
    <w:rsid w:val="003F5192"/>
    <w:rsid w:val="003F5431"/>
    <w:rsid w:val="003F6049"/>
    <w:rsid w:val="00406C67"/>
    <w:rsid w:val="0040703E"/>
    <w:rsid w:val="004073D7"/>
    <w:rsid w:val="00410A71"/>
    <w:rsid w:val="004146A9"/>
    <w:rsid w:val="00421DA3"/>
    <w:rsid w:val="0042314F"/>
    <w:rsid w:val="0042686E"/>
    <w:rsid w:val="00437C18"/>
    <w:rsid w:val="00440DC4"/>
    <w:rsid w:val="00445420"/>
    <w:rsid w:val="00451D80"/>
    <w:rsid w:val="00452B70"/>
    <w:rsid w:val="00457632"/>
    <w:rsid w:val="0046013A"/>
    <w:rsid w:val="004616CC"/>
    <w:rsid w:val="00461B18"/>
    <w:rsid w:val="00467D2F"/>
    <w:rsid w:val="004701A2"/>
    <w:rsid w:val="00485EA6"/>
    <w:rsid w:val="00486877"/>
    <w:rsid w:val="00493774"/>
    <w:rsid w:val="00494855"/>
    <w:rsid w:val="004A39FB"/>
    <w:rsid w:val="004A42C4"/>
    <w:rsid w:val="004A5C9A"/>
    <w:rsid w:val="004A6ABE"/>
    <w:rsid w:val="004B4317"/>
    <w:rsid w:val="004B4366"/>
    <w:rsid w:val="004B5D5D"/>
    <w:rsid w:val="004B6F0A"/>
    <w:rsid w:val="004C0B36"/>
    <w:rsid w:val="004C15A7"/>
    <w:rsid w:val="004C3FB8"/>
    <w:rsid w:val="004C6025"/>
    <w:rsid w:val="004D0404"/>
    <w:rsid w:val="004D1F91"/>
    <w:rsid w:val="004D443E"/>
    <w:rsid w:val="004E1588"/>
    <w:rsid w:val="004E3309"/>
    <w:rsid w:val="004E4B1C"/>
    <w:rsid w:val="004E5291"/>
    <w:rsid w:val="004F0EE7"/>
    <w:rsid w:val="004F23BF"/>
    <w:rsid w:val="004F2B4E"/>
    <w:rsid w:val="005048C3"/>
    <w:rsid w:val="0051044A"/>
    <w:rsid w:val="005126F6"/>
    <w:rsid w:val="005129C1"/>
    <w:rsid w:val="00513B8E"/>
    <w:rsid w:val="00513EBA"/>
    <w:rsid w:val="00514591"/>
    <w:rsid w:val="00515083"/>
    <w:rsid w:val="00516B93"/>
    <w:rsid w:val="00520C61"/>
    <w:rsid w:val="00520E36"/>
    <w:rsid w:val="005307AE"/>
    <w:rsid w:val="00533F99"/>
    <w:rsid w:val="005343E6"/>
    <w:rsid w:val="00536383"/>
    <w:rsid w:val="00536D20"/>
    <w:rsid w:val="00546BF2"/>
    <w:rsid w:val="0054788F"/>
    <w:rsid w:val="00554B05"/>
    <w:rsid w:val="00555868"/>
    <w:rsid w:val="005560CB"/>
    <w:rsid w:val="00556972"/>
    <w:rsid w:val="00556A08"/>
    <w:rsid w:val="00556D6D"/>
    <w:rsid w:val="00557195"/>
    <w:rsid w:val="00561949"/>
    <w:rsid w:val="00563981"/>
    <w:rsid w:val="00564755"/>
    <w:rsid w:val="00570B45"/>
    <w:rsid w:val="00576DBE"/>
    <w:rsid w:val="00577A2A"/>
    <w:rsid w:val="0057BD1C"/>
    <w:rsid w:val="00581D4C"/>
    <w:rsid w:val="005864C1"/>
    <w:rsid w:val="00591668"/>
    <w:rsid w:val="00593B8D"/>
    <w:rsid w:val="00595460"/>
    <w:rsid w:val="005975E1"/>
    <w:rsid w:val="005A0C12"/>
    <w:rsid w:val="005A140C"/>
    <w:rsid w:val="005A52BD"/>
    <w:rsid w:val="005A7161"/>
    <w:rsid w:val="005B0AB5"/>
    <w:rsid w:val="005C1EA4"/>
    <w:rsid w:val="005C52FD"/>
    <w:rsid w:val="005C55CD"/>
    <w:rsid w:val="005D52B5"/>
    <w:rsid w:val="005D5E5E"/>
    <w:rsid w:val="005D76B1"/>
    <w:rsid w:val="005E2D72"/>
    <w:rsid w:val="005F373C"/>
    <w:rsid w:val="005F5E19"/>
    <w:rsid w:val="005FDC78"/>
    <w:rsid w:val="00605542"/>
    <w:rsid w:val="00605733"/>
    <w:rsid w:val="00610EE8"/>
    <w:rsid w:val="00612063"/>
    <w:rsid w:val="00614064"/>
    <w:rsid w:val="00614FE1"/>
    <w:rsid w:val="00615F36"/>
    <w:rsid w:val="00616FEF"/>
    <w:rsid w:val="00620C6B"/>
    <w:rsid w:val="00626FEE"/>
    <w:rsid w:val="0063071A"/>
    <w:rsid w:val="00631828"/>
    <w:rsid w:val="00637CC7"/>
    <w:rsid w:val="00645EA5"/>
    <w:rsid w:val="006609DC"/>
    <w:rsid w:val="00660C33"/>
    <w:rsid w:val="0066216D"/>
    <w:rsid w:val="00662636"/>
    <w:rsid w:val="006627C5"/>
    <w:rsid w:val="00666FD9"/>
    <w:rsid w:val="006722AF"/>
    <w:rsid w:val="00673F4D"/>
    <w:rsid w:val="006746B6"/>
    <w:rsid w:val="006755AD"/>
    <w:rsid w:val="0067599E"/>
    <w:rsid w:val="006762FB"/>
    <w:rsid w:val="006771EB"/>
    <w:rsid w:val="00677E90"/>
    <w:rsid w:val="0068273A"/>
    <w:rsid w:val="006839C0"/>
    <w:rsid w:val="00684B69"/>
    <w:rsid w:val="00690A70"/>
    <w:rsid w:val="00690DFC"/>
    <w:rsid w:val="006A0FB7"/>
    <w:rsid w:val="006A20AF"/>
    <w:rsid w:val="006A30EE"/>
    <w:rsid w:val="006A3DC1"/>
    <w:rsid w:val="006A3F27"/>
    <w:rsid w:val="006A4D7A"/>
    <w:rsid w:val="006A7E2F"/>
    <w:rsid w:val="006A7FE3"/>
    <w:rsid w:val="006B05FE"/>
    <w:rsid w:val="006B072F"/>
    <w:rsid w:val="006B0C21"/>
    <w:rsid w:val="006B8F51"/>
    <w:rsid w:val="006C319A"/>
    <w:rsid w:val="006C5133"/>
    <w:rsid w:val="006C7DDF"/>
    <w:rsid w:val="006D1EC4"/>
    <w:rsid w:val="006D38A2"/>
    <w:rsid w:val="006E37A7"/>
    <w:rsid w:val="006E4B91"/>
    <w:rsid w:val="006F59BD"/>
    <w:rsid w:val="00705B7B"/>
    <w:rsid w:val="00706380"/>
    <w:rsid w:val="00722369"/>
    <w:rsid w:val="0072291B"/>
    <w:rsid w:val="0072347F"/>
    <w:rsid w:val="0072629E"/>
    <w:rsid w:val="00727EDD"/>
    <w:rsid w:val="007343DD"/>
    <w:rsid w:val="007348A6"/>
    <w:rsid w:val="00741626"/>
    <w:rsid w:val="00744AF9"/>
    <w:rsid w:val="007522C4"/>
    <w:rsid w:val="0075232D"/>
    <w:rsid w:val="00753891"/>
    <w:rsid w:val="00755D38"/>
    <w:rsid w:val="00755F86"/>
    <w:rsid w:val="0076043F"/>
    <w:rsid w:val="00761905"/>
    <w:rsid w:val="007640B9"/>
    <w:rsid w:val="00766A00"/>
    <w:rsid w:val="00772A66"/>
    <w:rsid w:val="0077330F"/>
    <w:rsid w:val="00773C09"/>
    <w:rsid w:val="00780154"/>
    <w:rsid w:val="0078126F"/>
    <w:rsid w:val="0078335F"/>
    <w:rsid w:val="00784755"/>
    <w:rsid w:val="00790282"/>
    <w:rsid w:val="00792701"/>
    <w:rsid w:val="00796214"/>
    <w:rsid w:val="00796854"/>
    <w:rsid w:val="00797A22"/>
    <w:rsid w:val="00797B9E"/>
    <w:rsid w:val="007A1742"/>
    <w:rsid w:val="007A2F0D"/>
    <w:rsid w:val="007A62AD"/>
    <w:rsid w:val="007B2B9D"/>
    <w:rsid w:val="007B4626"/>
    <w:rsid w:val="007B4B87"/>
    <w:rsid w:val="007B6A21"/>
    <w:rsid w:val="007C111F"/>
    <w:rsid w:val="007C62A4"/>
    <w:rsid w:val="007C7318"/>
    <w:rsid w:val="007D41AD"/>
    <w:rsid w:val="007E1448"/>
    <w:rsid w:val="007E18D1"/>
    <w:rsid w:val="007E19FB"/>
    <w:rsid w:val="007E2247"/>
    <w:rsid w:val="007E2FEF"/>
    <w:rsid w:val="007E44B4"/>
    <w:rsid w:val="007E5225"/>
    <w:rsid w:val="007E55A8"/>
    <w:rsid w:val="007E6A60"/>
    <w:rsid w:val="007F5196"/>
    <w:rsid w:val="007F5F09"/>
    <w:rsid w:val="007F64D6"/>
    <w:rsid w:val="008038CB"/>
    <w:rsid w:val="0080432F"/>
    <w:rsid w:val="008048AE"/>
    <w:rsid w:val="00813E2B"/>
    <w:rsid w:val="008200CE"/>
    <w:rsid w:val="0082010A"/>
    <w:rsid w:val="00822D6F"/>
    <w:rsid w:val="00827CA9"/>
    <w:rsid w:val="008358BA"/>
    <w:rsid w:val="00837CB5"/>
    <w:rsid w:val="00846E98"/>
    <w:rsid w:val="00852FCF"/>
    <w:rsid w:val="008531D4"/>
    <w:rsid w:val="00855537"/>
    <w:rsid w:val="00857CCE"/>
    <w:rsid w:val="00857E82"/>
    <w:rsid w:val="00860B8F"/>
    <w:rsid w:val="0086484F"/>
    <w:rsid w:val="0086490F"/>
    <w:rsid w:val="00866C60"/>
    <w:rsid w:val="00866DFA"/>
    <w:rsid w:val="00871AAB"/>
    <w:rsid w:val="00884E64"/>
    <w:rsid w:val="00887BA8"/>
    <w:rsid w:val="008A009B"/>
    <w:rsid w:val="008B039C"/>
    <w:rsid w:val="008B4F7D"/>
    <w:rsid w:val="008B509C"/>
    <w:rsid w:val="008B5315"/>
    <w:rsid w:val="008B5B83"/>
    <w:rsid w:val="008C1041"/>
    <w:rsid w:val="008C2CF6"/>
    <w:rsid w:val="008C4B8E"/>
    <w:rsid w:val="008D24E6"/>
    <w:rsid w:val="008D6552"/>
    <w:rsid w:val="008D7416"/>
    <w:rsid w:val="008D74FF"/>
    <w:rsid w:val="008E1068"/>
    <w:rsid w:val="008E19CE"/>
    <w:rsid w:val="008E1E51"/>
    <w:rsid w:val="008E202C"/>
    <w:rsid w:val="008E5D4F"/>
    <w:rsid w:val="008F1394"/>
    <w:rsid w:val="008F487D"/>
    <w:rsid w:val="008F5C02"/>
    <w:rsid w:val="008F73A2"/>
    <w:rsid w:val="00905B7B"/>
    <w:rsid w:val="0091281A"/>
    <w:rsid w:val="00913653"/>
    <w:rsid w:val="00917583"/>
    <w:rsid w:val="00921BED"/>
    <w:rsid w:val="00922B4A"/>
    <w:rsid w:val="00924809"/>
    <w:rsid w:val="009256E2"/>
    <w:rsid w:val="00926F07"/>
    <w:rsid w:val="00931DE0"/>
    <w:rsid w:val="0093537F"/>
    <w:rsid w:val="00935735"/>
    <w:rsid w:val="009414BE"/>
    <w:rsid w:val="00943544"/>
    <w:rsid w:val="00946681"/>
    <w:rsid w:val="00954068"/>
    <w:rsid w:val="0095418F"/>
    <w:rsid w:val="00956BD0"/>
    <w:rsid w:val="009700A6"/>
    <w:rsid w:val="0097035E"/>
    <w:rsid w:val="009704DD"/>
    <w:rsid w:val="00970C43"/>
    <w:rsid w:val="00972B64"/>
    <w:rsid w:val="009731E2"/>
    <w:rsid w:val="00974434"/>
    <w:rsid w:val="00983673"/>
    <w:rsid w:val="00983BF6"/>
    <w:rsid w:val="00983CE9"/>
    <w:rsid w:val="0098403E"/>
    <w:rsid w:val="00986C2B"/>
    <w:rsid w:val="00990827"/>
    <w:rsid w:val="00997B9E"/>
    <w:rsid w:val="00997E80"/>
    <w:rsid w:val="009A423B"/>
    <w:rsid w:val="009A4547"/>
    <w:rsid w:val="009B013D"/>
    <w:rsid w:val="009B2C3F"/>
    <w:rsid w:val="009B451B"/>
    <w:rsid w:val="009B4D4E"/>
    <w:rsid w:val="009C7AF9"/>
    <w:rsid w:val="009D1D14"/>
    <w:rsid w:val="009D4661"/>
    <w:rsid w:val="009E03CC"/>
    <w:rsid w:val="009E04F0"/>
    <w:rsid w:val="009E0C59"/>
    <w:rsid w:val="009E5749"/>
    <w:rsid w:val="009F12A2"/>
    <w:rsid w:val="009F6B44"/>
    <w:rsid w:val="00A00998"/>
    <w:rsid w:val="00A00DA2"/>
    <w:rsid w:val="00A078AE"/>
    <w:rsid w:val="00A078FD"/>
    <w:rsid w:val="00A10E68"/>
    <w:rsid w:val="00A130A7"/>
    <w:rsid w:val="00A160E8"/>
    <w:rsid w:val="00A21825"/>
    <w:rsid w:val="00A2188B"/>
    <w:rsid w:val="00A23804"/>
    <w:rsid w:val="00A246E4"/>
    <w:rsid w:val="00A25CD6"/>
    <w:rsid w:val="00A26D32"/>
    <w:rsid w:val="00A3239A"/>
    <w:rsid w:val="00A32481"/>
    <w:rsid w:val="00A34188"/>
    <w:rsid w:val="00A36850"/>
    <w:rsid w:val="00A41155"/>
    <w:rsid w:val="00A41A44"/>
    <w:rsid w:val="00A41CEE"/>
    <w:rsid w:val="00A430C8"/>
    <w:rsid w:val="00A4554C"/>
    <w:rsid w:val="00A46AB4"/>
    <w:rsid w:val="00A505E8"/>
    <w:rsid w:val="00A52F0B"/>
    <w:rsid w:val="00A53681"/>
    <w:rsid w:val="00A62931"/>
    <w:rsid w:val="00A63238"/>
    <w:rsid w:val="00A6323E"/>
    <w:rsid w:val="00A6386B"/>
    <w:rsid w:val="00A641B7"/>
    <w:rsid w:val="00A66B7B"/>
    <w:rsid w:val="00A735CE"/>
    <w:rsid w:val="00A77EEE"/>
    <w:rsid w:val="00A80B25"/>
    <w:rsid w:val="00A8395D"/>
    <w:rsid w:val="00A849EC"/>
    <w:rsid w:val="00A85079"/>
    <w:rsid w:val="00A873DB"/>
    <w:rsid w:val="00A914C6"/>
    <w:rsid w:val="00A923D2"/>
    <w:rsid w:val="00A93171"/>
    <w:rsid w:val="00A9375C"/>
    <w:rsid w:val="00A9452E"/>
    <w:rsid w:val="00A95FCC"/>
    <w:rsid w:val="00AA06EE"/>
    <w:rsid w:val="00AA1105"/>
    <w:rsid w:val="00AA1D88"/>
    <w:rsid w:val="00AA6B5A"/>
    <w:rsid w:val="00AB0460"/>
    <w:rsid w:val="00AB6159"/>
    <w:rsid w:val="00AB6CB7"/>
    <w:rsid w:val="00AB7BAF"/>
    <w:rsid w:val="00AC0881"/>
    <w:rsid w:val="00AC4FC7"/>
    <w:rsid w:val="00AC5A0C"/>
    <w:rsid w:val="00AD478B"/>
    <w:rsid w:val="00AD4AC9"/>
    <w:rsid w:val="00AD4EF9"/>
    <w:rsid w:val="00AD61CD"/>
    <w:rsid w:val="00AD640C"/>
    <w:rsid w:val="00AE18F2"/>
    <w:rsid w:val="00AE2548"/>
    <w:rsid w:val="00AE6E4C"/>
    <w:rsid w:val="00AF1F20"/>
    <w:rsid w:val="00AF699F"/>
    <w:rsid w:val="00AF6E0B"/>
    <w:rsid w:val="00AF72ED"/>
    <w:rsid w:val="00B108E7"/>
    <w:rsid w:val="00B14F27"/>
    <w:rsid w:val="00B15054"/>
    <w:rsid w:val="00B235EC"/>
    <w:rsid w:val="00B243F7"/>
    <w:rsid w:val="00B24FA4"/>
    <w:rsid w:val="00B27B59"/>
    <w:rsid w:val="00B368A2"/>
    <w:rsid w:val="00B370FD"/>
    <w:rsid w:val="00B42A33"/>
    <w:rsid w:val="00B470E2"/>
    <w:rsid w:val="00B52052"/>
    <w:rsid w:val="00B541B5"/>
    <w:rsid w:val="00B55163"/>
    <w:rsid w:val="00B57443"/>
    <w:rsid w:val="00B5760C"/>
    <w:rsid w:val="00B61290"/>
    <w:rsid w:val="00B61F58"/>
    <w:rsid w:val="00B65EF5"/>
    <w:rsid w:val="00B665DB"/>
    <w:rsid w:val="00B66DD0"/>
    <w:rsid w:val="00B71570"/>
    <w:rsid w:val="00B72F01"/>
    <w:rsid w:val="00B74267"/>
    <w:rsid w:val="00B751C5"/>
    <w:rsid w:val="00B81AC7"/>
    <w:rsid w:val="00B82309"/>
    <w:rsid w:val="00B83C76"/>
    <w:rsid w:val="00B840FD"/>
    <w:rsid w:val="00B8569E"/>
    <w:rsid w:val="00B87850"/>
    <w:rsid w:val="00BA1EB1"/>
    <w:rsid w:val="00BA5284"/>
    <w:rsid w:val="00BB45CA"/>
    <w:rsid w:val="00BB6819"/>
    <w:rsid w:val="00BB71EE"/>
    <w:rsid w:val="00BB7AE9"/>
    <w:rsid w:val="00BC0132"/>
    <w:rsid w:val="00BC4A71"/>
    <w:rsid w:val="00BC5B86"/>
    <w:rsid w:val="00BD0004"/>
    <w:rsid w:val="00BD21D7"/>
    <w:rsid w:val="00BD4EE6"/>
    <w:rsid w:val="00BE09AB"/>
    <w:rsid w:val="00BE1CC6"/>
    <w:rsid w:val="00BE4A69"/>
    <w:rsid w:val="00BE7299"/>
    <w:rsid w:val="00BF1C52"/>
    <w:rsid w:val="00BF2A85"/>
    <w:rsid w:val="00BF41C5"/>
    <w:rsid w:val="00BF49F0"/>
    <w:rsid w:val="00C050F5"/>
    <w:rsid w:val="00C145DB"/>
    <w:rsid w:val="00C16A9F"/>
    <w:rsid w:val="00C207C3"/>
    <w:rsid w:val="00C22437"/>
    <w:rsid w:val="00C2324D"/>
    <w:rsid w:val="00C250F9"/>
    <w:rsid w:val="00C25392"/>
    <w:rsid w:val="00C265DF"/>
    <w:rsid w:val="00C30534"/>
    <w:rsid w:val="00C33FF9"/>
    <w:rsid w:val="00C35FAE"/>
    <w:rsid w:val="00C37379"/>
    <w:rsid w:val="00C42794"/>
    <w:rsid w:val="00C43F94"/>
    <w:rsid w:val="00C50865"/>
    <w:rsid w:val="00C52F81"/>
    <w:rsid w:val="00C530B6"/>
    <w:rsid w:val="00C55318"/>
    <w:rsid w:val="00C56925"/>
    <w:rsid w:val="00C57771"/>
    <w:rsid w:val="00C6522E"/>
    <w:rsid w:val="00C70D46"/>
    <w:rsid w:val="00C71FC7"/>
    <w:rsid w:val="00C72034"/>
    <w:rsid w:val="00C73482"/>
    <w:rsid w:val="00C75A54"/>
    <w:rsid w:val="00C8752B"/>
    <w:rsid w:val="00C91634"/>
    <w:rsid w:val="00C92432"/>
    <w:rsid w:val="00CA3415"/>
    <w:rsid w:val="00CA41DA"/>
    <w:rsid w:val="00CA5219"/>
    <w:rsid w:val="00CA70A7"/>
    <w:rsid w:val="00CA77BD"/>
    <w:rsid w:val="00CB301D"/>
    <w:rsid w:val="00CB462C"/>
    <w:rsid w:val="00CB68E5"/>
    <w:rsid w:val="00CB724E"/>
    <w:rsid w:val="00CC1717"/>
    <w:rsid w:val="00CC2E79"/>
    <w:rsid w:val="00CC4B7A"/>
    <w:rsid w:val="00CD1B9E"/>
    <w:rsid w:val="00CD5133"/>
    <w:rsid w:val="00CE2FA9"/>
    <w:rsid w:val="00CE5100"/>
    <w:rsid w:val="00CE7638"/>
    <w:rsid w:val="00CF3FA7"/>
    <w:rsid w:val="00CF4E1E"/>
    <w:rsid w:val="00CF695D"/>
    <w:rsid w:val="00CF6EF3"/>
    <w:rsid w:val="00D01762"/>
    <w:rsid w:val="00D07B7D"/>
    <w:rsid w:val="00D07FD4"/>
    <w:rsid w:val="00D10F88"/>
    <w:rsid w:val="00D10F90"/>
    <w:rsid w:val="00D11BE9"/>
    <w:rsid w:val="00D13BEC"/>
    <w:rsid w:val="00D14AB9"/>
    <w:rsid w:val="00D14B0B"/>
    <w:rsid w:val="00D14D52"/>
    <w:rsid w:val="00D1568E"/>
    <w:rsid w:val="00D21582"/>
    <w:rsid w:val="00D35C7E"/>
    <w:rsid w:val="00D418C9"/>
    <w:rsid w:val="00D47C00"/>
    <w:rsid w:val="00D51F96"/>
    <w:rsid w:val="00D52A50"/>
    <w:rsid w:val="00D57C36"/>
    <w:rsid w:val="00D658B0"/>
    <w:rsid w:val="00D6627C"/>
    <w:rsid w:val="00D66AEA"/>
    <w:rsid w:val="00D676DD"/>
    <w:rsid w:val="00D7224E"/>
    <w:rsid w:val="00D72EED"/>
    <w:rsid w:val="00D73CAE"/>
    <w:rsid w:val="00D759E1"/>
    <w:rsid w:val="00D762DE"/>
    <w:rsid w:val="00D7694F"/>
    <w:rsid w:val="00D778A9"/>
    <w:rsid w:val="00D80C84"/>
    <w:rsid w:val="00D909E3"/>
    <w:rsid w:val="00DA320F"/>
    <w:rsid w:val="00DA579A"/>
    <w:rsid w:val="00DA77E2"/>
    <w:rsid w:val="00DB1073"/>
    <w:rsid w:val="00DB4EEC"/>
    <w:rsid w:val="00DB7F42"/>
    <w:rsid w:val="00DB7F82"/>
    <w:rsid w:val="00DC5010"/>
    <w:rsid w:val="00DD3E07"/>
    <w:rsid w:val="00DD4A84"/>
    <w:rsid w:val="00DE17F7"/>
    <w:rsid w:val="00DF19D6"/>
    <w:rsid w:val="00DF6021"/>
    <w:rsid w:val="00DF6714"/>
    <w:rsid w:val="00E00397"/>
    <w:rsid w:val="00E02F02"/>
    <w:rsid w:val="00E06128"/>
    <w:rsid w:val="00E15EB6"/>
    <w:rsid w:val="00E20445"/>
    <w:rsid w:val="00E20ABF"/>
    <w:rsid w:val="00E24912"/>
    <w:rsid w:val="00E273B3"/>
    <w:rsid w:val="00E27842"/>
    <w:rsid w:val="00E3144D"/>
    <w:rsid w:val="00E363C4"/>
    <w:rsid w:val="00E379E2"/>
    <w:rsid w:val="00E45F3D"/>
    <w:rsid w:val="00E5427C"/>
    <w:rsid w:val="00E60AAE"/>
    <w:rsid w:val="00E61848"/>
    <w:rsid w:val="00E63E81"/>
    <w:rsid w:val="00E65029"/>
    <w:rsid w:val="00E66A28"/>
    <w:rsid w:val="00E74916"/>
    <w:rsid w:val="00E7527B"/>
    <w:rsid w:val="00E75C27"/>
    <w:rsid w:val="00E804DD"/>
    <w:rsid w:val="00E84BF9"/>
    <w:rsid w:val="00E876BD"/>
    <w:rsid w:val="00E905E0"/>
    <w:rsid w:val="00E959EE"/>
    <w:rsid w:val="00E97B90"/>
    <w:rsid w:val="00EA0C4B"/>
    <w:rsid w:val="00EA1B77"/>
    <w:rsid w:val="00EA3292"/>
    <w:rsid w:val="00EA3461"/>
    <w:rsid w:val="00EA64A3"/>
    <w:rsid w:val="00EA7A6F"/>
    <w:rsid w:val="00EB051D"/>
    <w:rsid w:val="00EB0C8C"/>
    <w:rsid w:val="00EB2362"/>
    <w:rsid w:val="00EB258C"/>
    <w:rsid w:val="00EB5120"/>
    <w:rsid w:val="00EC017B"/>
    <w:rsid w:val="00EC7A83"/>
    <w:rsid w:val="00EC7DBC"/>
    <w:rsid w:val="00ED35B6"/>
    <w:rsid w:val="00ED727F"/>
    <w:rsid w:val="00EE0C28"/>
    <w:rsid w:val="00EE0F5B"/>
    <w:rsid w:val="00EE12DE"/>
    <w:rsid w:val="00EE2CC6"/>
    <w:rsid w:val="00EE517E"/>
    <w:rsid w:val="00EF23C5"/>
    <w:rsid w:val="00EF3F83"/>
    <w:rsid w:val="00EF5D8D"/>
    <w:rsid w:val="00F0227F"/>
    <w:rsid w:val="00F032AB"/>
    <w:rsid w:val="00F04DEC"/>
    <w:rsid w:val="00F074BA"/>
    <w:rsid w:val="00F07A55"/>
    <w:rsid w:val="00F113EA"/>
    <w:rsid w:val="00F11E27"/>
    <w:rsid w:val="00F13587"/>
    <w:rsid w:val="00F14A0A"/>
    <w:rsid w:val="00F2757C"/>
    <w:rsid w:val="00F35586"/>
    <w:rsid w:val="00F3797C"/>
    <w:rsid w:val="00F42B52"/>
    <w:rsid w:val="00F50C70"/>
    <w:rsid w:val="00F51EBA"/>
    <w:rsid w:val="00F54481"/>
    <w:rsid w:val="00F6236D"/>
    <w:rsid w:val="00F62ADC"/>
    <w:rsid w:val="00F649CF"/>
    <w:rsid w:val="00F66193"/>
    <w:rsid w:val="00F77824"/>
    <w:rsid w:val="00F81EA7"/>
    <w:rsid w:val="00F84994"/>
    <w:rsid w:val="00F84BEB"/>
    <w:rsid w:val="00F8596C"/>
    <w:rsid w:val="00F870EF"/>
    <w:rsid w:val="00F946D8"/>
    <w:rsid w:val="00FA0C1E"/>
    <w:rsid w:val="00FA3410"/>
    <w:rsid w:val="00FA5F76"/>
    <w:rsid w:val="00FA7FF7"/>
    <w:rsid w:val="00FB1597"/>
    <w:rsid w:val="00FB36E3"/>
    <w:rsid w:val="00FB5B95"/>
    <w:rsid w:val="00FB5CEF"/>
    <w:rsid w:val="00FB6B78"/>
    <w:rsid w:val="00FBCB9C"/>
    <w:rsid w:val="00FC1B87"/>
    <w:rsid w:val="00FC23C8"/>
    <w:rsid w:val="00FC3451"/>
    <w:rsid w:val="00FC38A0"/>
    <w:rsid w:val="00FC59E8"/>
    <w:rsid w:val="00FC6264"/>
    <w:rsid w:val="00FC65B6"/>
    <w:rsid w:val="00FC7A92"/>
    <w:rsid w:val="00FD1ABC"/>
    <w:rsid w:val="00FD2B32"/>
    <w:rsid w:val="00FD52A7"/>
    <w:rsid w:val="00FE24ED"/>
    <w:rsid w:val="00FE5470"/>
    <w:rsid w:val="00FE6086"/>
    <w:rsid w:val="00FF0EAF"/>
    <w:rsid w:val="01290F47"/>
    <w:rsid w:val="0205283E"/>
    <w:rsid w:val="0217C2A7"/>
    <w:rsid w:val="02306417"/>
    <w:rsid w:val="0233A170"/>
    <w:rsid w:val="027C4B72"/>
    <w:rsid w:val="02CDF63D"/>
    <w:rsid w:val="0383DBAC"/>
    <w:rsid w:val="0386108D"/>
    <w:rsid w:val="03CD3097"/>
    <w:rsid w:val="03D229BE"/>
    <w:rsid w:val="03EA9AE0"/>
    <w:rsid w:val="04230A42"/>
    <w:rsid w:val="0434B863"/>
    <w:rsid w:val="04B57DB5"/>
    <w:rsid w:val="05406B06"/>
    <w:rsid w:val="0544D16E"/>
    <w:rsid w:val="05AB79A3"/>
    <w:rsid w:val="05ABD964"/>
    <w:rsid w:val="05AEC1E9"/>
    <w:rsid w:val="05DCF1F3"/>
    <w:rsid w:val="05E0A5FE"/>
    <w:rsid w:val="05E53A5C"/>
    <w:rsid w:val="06C2170D"/>
    <w:rsid w:val="06C64309"/>
    <w:rsid w:val="0700F2E8"/>
    <w:rsid w:val="0802F4E2"/>
    <w:rsid w:val="0811F569"/>
    <w:rsid w:val="086DF7EC"/>
    <w:rsid w:val="08B715F1"/>
    <w:rsid w:val="08E1A232"/>
    <w:rsid w:val="09054C16"/>
    <w:rsid w:val="0954901C"/>
    <w:rsid w:val="0967BE59"/>
    <w:rsid w:val="096F2C78"/>
    <w:rsid w:val="098F8AAF"/>
    <w:rsid w:val="09C60725"/>
    <w:rsid w:val="09CAE445"/>
    <w:rsid w:val="0A47CED0"/>
    <w:rsid w:val="0A5982AB"/>
    <w:rsid w:val="0A7649FF"/>
    <w:rsid w:val="0B2F38EF"/>
    <w:rsid w:val="0BF5A32A"/>
    <w:rsid w:val="0C5AE5DF"/>
    <w:rsid w:val="0CD31D5F"/>
    <w:rsid w:val="0CF77634"/>
    <w:rsid w:val="0D2624D0"/>
    <w:rsid w:val="0D720B82"/>
    <w:rsid w:val="0E031C39"/>
    <w:rsid w:val="0E4159E2"/>
    <w:rsid w:val="0E52ADF6"/>
    <w:rsid w:val="0EE55FA3"/>
    <w:rsid w:val="0F125FB0"/>
    <w:rsid w:val="0F1A2D26"/>
    <w:rsid w:val="0F41EDE3"/>
    <w:rsid w:val="0F857AA8"/>
    <w:rsid w:val="0FA9884F"/>
    <w:rsid w:val="0FE61F12"/>
    <w:rsid w:val="107F582D"/>
    <w:rsid w:val="10AEF0F8"/>
    <w:rsid w:val="10B316AD"/>
    <w:rsid w:val="1114B02C"/>
    <w:rsid w:val="11214B09"/>
    <w:rsid w:val="1141158D"/>
    <w:rsid w:val="115F8042"/>
    <w:rsid w:val="118B4790"/>
    <w:rsid w:val="119A49FB"/>
    <w:rsid w:val="11CCC3B5"/>
    <w:rsid w:val="1206E4FE"/>
    <w:rsid w:val="1269BFF5"/>
    <w:rsid w:val="127BA386"/>
    <w:rsid w:val="12A96D83"/>
    <w:rsid w:val="1350BB42"/>
    <w:rsid w:val="13AC3F0E"/>
    <w:rsid w:val="146826D6"/>
    <w:rsid w:val="165C0092"/>
    <w:rsid w:val="169349C3"/>
    <w:rsid w:val="16D2353C"/>
    <w:rsid w:val="16F15C07"/>
    <w:rsid w:val="172E9A25"/>
    <w:rsid w:val="173C2615"/>
    <w:rsid w:val="1760649C"/>
    <w:rsid w:val="177BE4EC"/>
    <w:rsid w:val="17B4900C"/>
    <w:rsid w:val="17BBBA0A"/>
    <w:rsid w:val="17D9F58D"/>
    <w:rsid w:val="17E6B0BF"/>
    <w:rsid w:val="182E0D72"/>
    <w:rsid w:val="18419F93"/>
    <w:rsid w:val="18998197"/>
    <w:rsid w:val="18AF84FD"/>
    <w:rsid w:val="1919FF82"/>
    <w:rsid w:val="1975C5EE"/>
    <w:rsid w:val="19E7A19D"/>
    <w:rsid w:val="1A1F2011"/>
    <w:rsid w:val="1A8DFADD"/>
    <w:rsid w:val="1A923B90"/>
    <w:rsid w:val="1ACF58F5"/>
    <w:rsid w:val="1B61BCBB"/>
    <w:rsid w:val="1B74C892"/>
    <w:rsid w:val="1B772C24"/>
    <w:rsid w:val="1BC3137F"/>
    <w:rsid w:val="1C03DA95"/>
    <w:rsid w:val="1CAD66B0"/>
    <w:rsid w:val="1CD45385"/>
    <w:rsid w:val="1CEB52D2"/>
    <w:rsid w:val="1D23D239"/>
    <w:rsid w:val="1D2D439E"/>
    <w:rsid w:val="1DF53352"/>
    <w:rsid w:val="1E2C8299"/>
    <w:rsid w:val="1E481467"/>
    <w:rsid w:val="1E803AD4"/>
    <w:rsid w:val="1F2BCA78"/>
    <w:rsid w:val="1F5FB76D"/>
    <w:rsid w:val="1F6C1041"/>
    <w:rsid w:val="1FC9B1BA"/>
    <w:rsid w:val="202526B0"/>
    <w:rsid w:val="2084B44C"/>
    <w:rsid w:val="20DB9689"/>
    <w:rsid w:val="20FA85B2"/>
    <w:rsid w:val="2119A952"/>
    <w:rsid w:val="21C16751"/>
    <w:rsid w:val="21D32E07"/>
    <w:rsid w:val="21D6E67B"/>
    <w:rsid w:val="220380A1"/>
    <w:rsid w:val="22057EBF"/>
    <w:rsid w:val="224C6CF3"/>
    <w:rsid w:val="22AF4A1B"/>
    <w:rsid w:val="22C3ABAC"/>
    <w:rsid w:val="22DB2CBA"/>
    <w:rsid w:val="230E07AB"/>
    <w:rsid w:val="23129BE5"/>
    <w:rsid w:val="23131CB5"/>
    <w:rsid w:val="234D4869"/>
    <w:rsid w:val="2353ABF7"/>
    <w:rsid w:val="236670C6"/>
    <w:rsid w:val="2369173B"/>
    <w:rsid w:val="2380D1B0"/>
    <w:rsid w:val="238922E4"/>
    <w:rsid w:val="23BAE5C3"/>
    <w:rsid w:val="23C8C2DD"/>
    <w:rsid w:val="249A1C52"/>
    <w:rsid w:val="2504E60D"/>
    <w:rsid w:val="2538C148"/>
    <w:rsid w:val="25C1D399"/>
    <w:rsid w:val="25E4FB19"/>
    <w:rsid w:val="2610534F"/>
    <w:rsid w:val="26199CDD"/>
    <w:rsid w:val="262F7ACC"/>
    <w:rsid w:val="267574BC"/>
    <w:rsid w:val="2696EE4B"/>
    <w:rsid w:val="27537929"/>
    <w:rsid w:val="277D4B5A"/>
    <w:rsid w:val="279524A3"/>
    <w:rsid w:val="28085B78"/>
    <w:rsid w:val="2811A8CB"/>
    <w:rsid w:val="2850DA75"/>
    <w:rsid w:val="286A3776"/>
    <w:rsid w:val="287B8D94"/>
    <w:rsid w:val="28FB2732"/>
    <w:rsid w:val="292C11E4"/>
    <w:rsid w:val="29578AAB"/>
    <w:rsid w:val="29E1D72F"/>
    <w:rsid w:val="2A15EC24"/>
    <w:rsid w:val="2A7AD5F3"/>
    <w:rsid w:val="2A8DE0E8"/>
    <w:rsid w:val="2A9A4AB8"/>
    <w:rsid w:val="2B60E2EC"/>
    <w:rsid w:val="2BA40FD3"/>
    <w:rsid w:val="2BCFAB94"/>
    <w:rsid w:val="2C546E73"/>
    <w:rsid w:val="2D0A8176"/>
    <w:rsid w:val="2D26F95C"/>
    <w:rsid w:val="2DF6B725"/>
    <w:rsid w:val="2DF92879"/>
    <w:rsid w:val="2E56E91A"/>
    <w:rsid w:val="2E81E66E"/>
    <w:rsid w:val="2E8F6D37"/>
    <w:rsid w:val="2ECDCDC9"/>
    <w:rsid w:val="2F230361"/>
    <w:rsid w:val="2F7CDBD3"/>
    <w:rsid w:val="2F810062"/>
    <w:rsid w:val="2FCD16CF"/>
    <w:rsid w:val="300DA9ED"/>
    <w:rsid w:val="30274235"/>
    <w:rsid w:val="3027DAF5"/>
    <w:rsid w:val="30599148"/>
    <w:rsid w:val="30DCC284"/>
    <w:rsid w:val="31611EC8"/>
    <w:rsid w:val="317A41FC"/>
    <w:rsid w:val="31CB0B75"/>
    <w:rsid w:val="31E13275"/>
    <w:rsid w:val="32438A3E"/>
    <w:rsid w:val="32FFC84B"/>
    <w:rsid w:val="3322F669"/>
    <w:rsid w:val="33972752"/>
    <w:rsid w:val="339D425A"/>
    <w:rsid w:val="33BD9EEE"/>
    <w:rsid w:val="33DF5A9F"/>
    <w:rsid w:val="341FF1D1"/>
    <w:rsid w:val="346869FD"/>
    <w:rsid w:val="34F71D38"/>
    <w:rsid w:val="351E073D"/>
    <w:rsid w:val="3521558B"/>
    <w:rsid w:val="3542D2BD"/>
    <w:rsid w:val="3549ABF3"/>
    <w:rsid w:val="359F6F55"/>
    <w:rsid w:val="368185D2"/>
    <w:rsid w:val="369E7C24"/>
    <w:rsid w:val="37609F54"/>
    <w:rsid w:val="3768E95D"/>
    <w:rsid w:val="37C6F655"/>
    <w:rsid w:val="37D4C1FD"/>
    <w:rsid w:val="37DE20C0"/>
    <w:rsid w:val="381A74C1"/>
    <w:rsid w:val="38D3DBF1"/>
    <w:rsid w:val="38EB9161"/>
    <w:rsid w:val="390C7C03"/>
    <w:rsid w:val="394F2E9E"/>
    <w:rsid w:val="395D5F47"/>
    <w:rsid w:val="3970925E"/>
    <w:rsid w:val="3980C2A2"/>
    <w:rsid w:val="398599E4"/>
    <w:rsid w:val="39898CCD"/>
    <w:rsid w:val="39C36B1E"/>
    <w:rsid w:val="39F44892"/>
    <w:rsid w:val="3A09CC06"/>
    <w:rsid w:val="3A4F2906"/>
    <w:rsid w:val="3A8761C2"/>
    <w:rsid w:val="3A8D415B"/>
    <w:rsid w:val="3AE9ACEC"/>
    <w:rsid w:val="3B0424B8"/>
    <w:rsid w:val="3B0D5EDE"/>
    <w:rsid w:val="3B570DCF"/>
    <w:rsid w:val="3B5D4341"/>
    <w:rsid w:val="3B75DDC5"/>
    <w:rsid w:val="3B942493"/>
    <w:rsid w:val="3BAC50D1"/>
    <w:rsid w:val="3BBA1998"/>
    <w:rsid w:val="3C026464"/>
    <w:rsid w:val="3C1C07B4"/>
    <w:rsid w:val="3C391666"/>
    <w:rsid w:val="3C56737F"/>
    <w:rsid w:val="3C9B6397"/>
    <w:rsid w:val="3D0E6E59"/>
    <w:rsid w:val="3D629E8E"/>
    <w:rsid w:val="3DDB3FBB"/>
    <w:rsid w:val="3E06130E"/>
    <w:rsid w:val="3E12BB72"/>
    <w:rsid w:val="3E19790F"/>
    <w:rsid w:val="3E2E187D"/>
    <w:rsid w:val="3E3733F8"/>
    <w:rsid w:val="3ED08CA6"/>
    <w:rsid w:val="3ED65CB9"/>
    <w:rsid w:val="3EE4E81E"/>
    <w:rsid w:val="3F02815D"/>
    <w:rsid w:val="3F05B774"/>
    <w:rsid w:val="3F3DED90"/>
    <w:rsid w:val="3F45DB16"/>
    <w:rsid w:val="3F6FD7AF"/>
    <w:rsid w:val="3F71A8AF"/>
    <w:rsid w:val="3F77101C"/>
    <w:rsid w:val="3FC6AB85"/>
    <w:rsid w:val="3FE35FB7"/>
    <w:rsid w:val="3FE8ABEA"/>
    <w:rsid w:val="405B2716"/>
    <w:rsid w:val="40CDB23C"/>
    <w:rsid w:val="412D3024"/>
    <w:rsid w:val="4155AC5D"/>
    <w:rsid w:val="41980445"/>
    <w:rsid w:val="41BA84E9"/>
    <w:rsid w:val="41EA6639"/>
    <w:rsid w:val="424AFE2E"/>
    <w:rsid w:val="429EE187"/>
    <w:rsid w:val="42DFCDEF"/>
    <w:rsid w:val="43105167"/>
    <w:rsid w:val="432EA308"/>
    <w:rsid w:val="435A51F2"/>
    <w:rsid w:val="43839ED6"/>
    <w:rsid w:val="438FE666"/>
    <w:rsid w:val="43F8CEC9"/>
    <w:rsid w:val="440A6201"/>
    <w:rsid w:val="447127BA"/>
    <w:rsid w:val="44E8B911"/>
    <w:rsid w:val="45780975"/>
    <w:rsid w:val="45828725"/>
    <w:rsid w:val="45AC011F"/>
    <w:rsid w:val="45C6D243"/>
    <w:rsid w:val="45D9D382"/>
    <w:rsid w:val="46BA9A19"/>
    <w:rsid w:val="46DDBA2D"/>
    <w:rsid w:val="46E39588"/>
    <w:rsid w:val="47B5EA5D"/>
    <w:rsid w:val="481591F5"/>
    <w:rsid w:val="487A48BE"/>
    <w:rsid w:val="495F0A70"/>
    <w:rsid w:val="498EF18B"/>
    <w:rsid w:val="4992F917"/>
    <w:rsid w:val="49CF774E"/>
    <w:rsid w:val="4A635588"/>
    <w:rsid w:val="4A9C83FE"/>
    <w:rsid w:val="4B74632A"/>
    <w:rsid w:val="4C017688"/>
    <w:rsid w:val="4C06314D"/>
    <w:rsid w:val="4C8F4389"/>
    <w:rsid w:val="4CB1D0B4"/>
    <w:rsid w:val="4CFEF8B4"/>
    <w:rsid w:val="4DB71304"/>
    <w:rsid w:val="4DF2BBA7"/>
    <w:rsid w:val="4E0E169E"/>
    <w:rsid w:val="4E196ACD"/>
    <w:rsid w:val="4E6F9B9A"/>
    <w:rsid w:val="4F34C1E1"/>
    <w:rsid w:val="4F362F21"/>
    <w:rsid w:val="4F4C3460"/>
    <w:rsid w:val="4F80B5C8"/>
    <w:rsid w:val="4FCED7AD"/>
    <w:rsid w:val="4FE7F47A"/>
    <w:rsid w:val="50071BBC"/>
    <w:rsid w:val="50C20328"/>
    <w:rsid w:val="50E8B00C"/>
    <w:rsid w:val="50EEF23E"/>
    <w:rsid w:val="5109A479"/>
    <w:rsid w:val="5114B496"/>
    <w:rsid w:val="513846BA"/>
    <w:rsid w:val="51604E28"/>
    <w:rsid w:val="516FD91B"/>
    <w:rsid w:val="51D91BE1"/>
    <w:rsid w:val="51E8F7A9"/>
    <w:rsid w:val="52018E13"/>
    <w:rsid w:val="534E6741"/>
    <w:rsid w:val="539A4E9C"/>
    <w:rsid w:val="540356DD"/>
    <w:rsid w:val="544C5558"/>
    <w:rsid w:val="54ADB43F"/>
    <w:rsid w:val="552731A5"/>
    <w:rsid w:val="55A9C6D5"/>
    <w:rsid w:val="55D66F2E"/>
    <w:rsid w:val="55DB3C6A"/>
    <w:rsid w:val="55F06F38"/>
    <w:rsid w:val="56070C6B"/>
    <w:rsid w:val="560F76A9"/>
    <w:rsid w:val="56476A08"/>
    <w:rsid w:val="56DE0167"/>
    <w:rsid w:val="570B0E16"/>
    <w:rsid w:val="5739FB80"/>
    <w:rsid w:val="57EB271C"/>
    <w:rsid w:val="58219199"/>
    <w:rsid w:val="582DEA6D"/>
    <w:rsid w:val="58CFED63"/>
    <w:rsid w:val="59638E7A"/>
    <w:rsid w:val="5A3D10FE"/>
    <w:rsid w:val="5A7B005D"/>
    <w:rsid w:val="5AF52B4E"/>
    <w:rsid w:val="5B2690A2"/>
    <w:rsid w:val="5B7452F6"/>
    <w:rsid w:val="5B9AF160"/>
    <w:rsid w:val="5BC03A51"/>
    <w:rsid w:val="5BD3B662"/>
    <w:rsid w:val="5C29288D"/>
    <w:rsid w:val="5CAC980A"/>
    <w:rsid w:val="5CEBB569"/>
    <w:rsid w:val="5D1DBB8F"/>
    <w:rsid w:val="5D226BBF"/>
    <w:rsid w:val="5D6103D9"/>
    <w:rsid w:val="5D6EC01E"/>
    <w:rsid w:val="5E1DD740"/>
    <w:rsid w:val="5E370172"/>
    <w:rsid w:val="5E4375B1"/>
    <w:rsid w:val="5E6F31F9"/>
    <w:rsid w:val="5EF965C5"/>
    <w:rsid w:val="5F041A81"/>
    <w:rsid w:val="5F447C31"/>
    <w:rsid w:val="5FBC73C2"/>
    <w:rsid w:val="5FF8E85F"/>
    <w:rsid w:val="60423473"/>
    <w:rsid w:val="605407DA"/>
    <w:rsid w:val="60C57ADF"/>
    <w:rsid w:val="60EB2834"/>
    <w:rsid w:val="6110661B"/>
    <w:rsid w:val="6119E57A"/>
    <w:rsid w:val="612AAEEC"/>
    <w:rsid w:val="616890DD"/>
    <w:rsid w:val="62157140"/>
    <w:rsid w:val="62C75FCF"/>
    <w:rsid w:val="633B460E"/>
    <w:rsid w:val="635D2D8F"/>
    <w:rsid w:val="6365405F"/>
    <w:rsid w:val="63865266"/>
    <w:rsid w:val="63BC846F"/>
    <w:rsid w:val="63F4FC45"/>
    <w:rsid w:val="63FD0F15"/>
    <w:rsid w:val="64213878"/>
    <w:rsid w:val="6442C1D9"/>
    <w:rsid w:val="6488CDF3"/>
    <w:rsid w:val="649AA13B"/>
    <w:rsid w:val="64BF4D8B"/>
    <w:rsid w:val="64E44315"/>
    <w:rsid w:val="64EF5F50"/>
    <w:rsid w:val="651DB1AE"/>
    <w:rsid w:val="654DF43A"/>
    <w:rsid w:val="654FAD29"/>
    <w:rsid w:val="6585BDD0"/>
    <w:rsid w:val="6595F368"/>
    <w:rsid w:val="659CD97B"/>
    <w:rsid w:val="65FBE2B8"/>
    <w:rsid w:val="661B82D9"/>
    <w:rsid w:val="66249E54"/>
    <w:rsid w:val="6657EB2B"/>
    <w:rsid w:val="66B6EB6C"/>
    <w:rsid w:val="67196A09"/>
    <w:rsid w:val="67E908AE"/>
    <w:rsid w:val="67EF868A"/>
    <w:rsid w:val="67F2BF6D"/>
    <w:rsid w:val="683416A2"/>
    <w:rsid w:val="684C0EC5"/>
    <w:rsid w:val="68B4E2E5"/>
    <w:rsid w:val="68E9A895"/>
    <w:rsid w:val="6908385F"/>
    <w:rsid w:val="69ABF543"/>
    <w:rsid w:val="6ABA961A"/>
    <w:rsid w:val="6ABE2D3C"/>
    <w:rsid w:val="6B022711"/>
    <w:rsid w:val="6B02F154"/>
    <w:rsid w:val="6B09E2BF"/>
    <w:rsid w:val="6B2A602F"/>
    <w:rsid w:val="6B50331C"/>
    <w:rsid w:val="6B6D2C0F"/>
    <w:rsid w:val="6BA81BDA"/>
    <w:rsid w:val="6BF3F1C6"/>
    <w:rsid w:val="6C1AAAF3"/>
    <w:rsid w:val="6C90821B"/>
    <w:rsid w:val="6CFB90B8"/>
    <w:rsid w:val="6DDEBE35"/>
    <w:rsid w:val="6DFC9273"/>
    <w:rsid w:val="6E207A2C"/>
    <w:rsid w:val="6E2C527C"/>
    <w:rsid w:val="6E36B13C"/>
    <w:rsid w:val="6EBE7AF1"/>
    <w:rsid w:val="6EF1BAE5"/>
    <w:rsid w:val="6EFBFAE7"/>
    <w:rsid w:val="6F59059B"/>
    <w:rsid w:val="6F7535C8"/>
    <w:rsid w:val="6FDC29CF"/>
    <w:rsid w:val="70065080"/>
    <w:rsid w:val="70358979"/>
    <w:rsid w:val="705ACD3B"/>
    <w:rsid w:val="705C4AD1"/>
    <w:rsid w:val="70C5C0DE"/>
    <w:rsid w:val="70DB921D"/>
    <w:rsid w:val="71277978"/>
    <w:rsid w:val="7132D62D"/>
    <w:rsid w:val="7151FC39"/>
    <w:rsid w:val="7163BE35"/>
    <w:rsid w:val="71911460"/>
    <w:rsid w:val="71E9DDA7"/>
    <w:rsid w:val="71F28766"/>
    <w:rsid w:val="71FC6287"/>
    <w:rsid w:val="724D6C6D"/>
    <w:rsid w:val="72E13987"/>
    <w:rsid w:val="72E1F120"/>
    <w:rsid w:val="730C1C70"/>
    <w:rsid w:val="732BB390"/>
    <w:rsid w:val="73377CA0"/>
    <w:rsid w:val="738978CB"/>
    <w:rsid w:val="750F152E"/>
    <w:rsid w:val="751B581D"/>
    <w:rsid w:val="75B39DA1"/>
    <w:rsid w:val="75B937DC"/>
    <w:rsid w:val="766305D4"/>
    <w:rsid w:val="7717BD1F"/>
    <w:rsid w:val="773FB30E"/>
    <w:rsid w:val="777B20D0"/>
    <w:rsid w:val="778D9F81"/>
    <w:rsid w:val="77A18F66"/>
    <w:rsid w:val="77C83863"/>
    <w:rsid w:val="77CCE8F9"/>
    <w:rsid w:val="79117869"/>
    <w:rsid w:val="7911EB00"/>
    <w:rsid w:val="79743AB7"/>
    <w:rsid w:val="79A1C421"/>
    <w:rsid w:val="79CA6569"/>
    <w:rsid w:val="79F38F52"/>
    <w:rsid w:val="7A458F57"/>
    <w:rsid w:val="7A9CDC22"/>
    <w:rsid w:val="7B2A4FFB"/>
    <w:rsid w:val="7B58FD4C"/>
    <w:rsid w:val="7B5E5FFE"/>
    <w:rsid w:val="7B6DDA48"/>
    <w:rsid w:val="7BDB95E6"/>
    <w:rsid w:val="7BFA0EF2"/>
    <w:rsid w:val="7C30E79D"/>
    <w:rsid w:val="7C69991F"/>
    <w:rsid w:val="7C8FAD50"/>
    <w:rsid w:val="7CD40328"/>
    <w:rsid w:val="7CEC09F4"/>
    <w:rsid w:val="7DD3867C"/>
    <w:rsid w:val="7E72BB9F"/>
    <w:rsid w:val="7EAEF87D"/>
    <w:rsid w:val="7F6E439A"/>
    <w:rsid w:val="7F711793"/>
    <w:rsid w:val="7F723557"/>
    <w:rsid w:val="7F77922C"/>
    <w:rsid w:val="7FA694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37DDE35"/>
  <w15:docId w15:val="{921374BB-F598-4D45-8BDA-EB848ADB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273A"/>
    <w:pPr>
      <w:jc w:val="both"/>
    </w:pPr>
    <w:rPr>
      <w:rFonts w:ascii="Arial" w:hAnsi="Arial"/>
      <w:sz w:val="18"/>
      <w:lang w:val="es-ES_tradnl" w:eastAsia="es-CO"/>
    </w:rPr>
  </w:style>
  <w:style w:type="paragraph" w:styleId="Ttulo1">
    <w:name w:val="heading 1"/>
    <w:basedOn w:val="Normal"/>
    <w:next w:val="Normal"/>
    <w:link w:val="Ttulo1Car"/>
    <w:uiPriority w:val="99"/>
    <w:qFormat/>
    <w:rsid w:val="0068273A"/>
    <w:pPr>
      <w:keepNext/>
      <w:spacing w:before="240" w:after="60"/>
      <w:outlineLvl w:val="0"/>
    </w:pPr>
    <w:rPr>
      <w:b/>
      <w:bCs/>
      <w:kern w:val="32"/>
      <w:sz w:val="16"/>
      <w:szCs w:val="32"/>
    </w:rPr>
  </w:style>
  <w:style w:type="paragraph" w:styleId="Ttulo2">
    <w:name w:val="heading 2"/>
    <w:basedOn w:val="Normal"/>
    <w:next w:val="Normal"/>
    <w:link w:val="Ttulo2Car"/>
    <w:uiPriority w:val="99"/>
    <w:qFormat/>
    <w:rsid w:val="0068273A"/>
    <w:pPr>
      <w:keepNext/>
      <w:spacing w:before="240" w:after="60"/>
      <w:outlineLvl w:val="1"/>
    </w:pPr>
    <w:rPr>
      <w:b/>
      <w:bCs/>
      <w:iCs/>
      <w:sz w:val="16"/>
      <w:szCs w:val="28"/>
    </w:rPr>
  </w:style>
  <w:style w:type="paragraph" w:styleId="Ttulo3">
    <w:name w:val="heading 3"/>
    <w:basedOn w:val="Normal"/>
    <w:next w:val="Normal"/>
    <w:link w:val="Ttulo3Car"/>
    <w:uiPriority w:val="99"/>
    <w:qFormat/>
    <w:rsid w:val="00AB0460"/>
    <w:pPr>
      <w:keepNext/>
      <w:numPr>
        <w:ilvl w:val="2"/>
        <w:numId w:val="9"/>
      </w:numPr>
      <w:spacing w:before="240" w:after="60"/>
      <w:outlineLvl w:val="2"/>
    </w:pPr>
    <w:rPr>
      <w:b/>
      <w:bCs/>
      <w:sz w:val="20"/>
      <w:szCs w:val="26"/>
      <w:lang w:val="es-ES" w:eastAsia="es-ES"/>
    </w:rPr>
  </w:style>
  <w:style w:type="paragraph" w:styleId="Ttulo4">
    <w:name w:val="heading 4"/>
    <w:basedOn w:val="Normal"/>
    <w:next w:val="Normal"/>
    <w:link w:val="Ttulo4Car"/>
    <w:uiPriority w:val="99"/>
    <w:qFormat/>
    <w:rsid w:val="00AB0460"/>
    <w:pPr>
      <w:keepNext/>
      <w:numPr>
        <w:ilvl w:val="3"/>
        <w:numId w:val="9"/>
      </w:numPr>
      <w:spacing w:before="240" w:after="60"/>
      <w:outlineLvl w:val="3"/>
    </w:pPr>
    <w:rPr>
      <w:bCs/>
      <w:sz w:val="20"/>
      <w:szCs w:val="28"/>
      <w:lang w:val="es-ES" w:eastAsia="es-ES"/>
    </w:rPr>
  </w:style>
  <w:style w:type="paragraph" w:styleId="Ttulo5">
    <w:name w:val="heading 5"/>
    <w:basedOn w:val="Normal"/>
    <w:next w:val="Normal"/>
    <w:link w:val="Ttulo5Car"/>
    <w:uiPriority w:val="99"/>
    <w:qFormat/>
    <w:rsid w:val="00AB0460"/>
    <w:pPr>
      <w:numPr>
        <w:ilvl w:val="4"/>
        <w:numId w:val="9"/>
      </w:numPr>
      <w:spacing w:before="240" w:after="60"/>
      <w:outlineLvl w:val="4"/>
    </w:pPr>
    <w:rPr>
      <w:rFonts w:ascii="Times New Roman" w:hAnsi="Times New Roman"/>
      <w:b/>
      <w:bCs/>
      <w:iCs/>
      <w:sz w:val="20"/>
      <w:szCs w:val="26"/>
      <w:u w:val="single"/>
      <w:lang w:val="es-ES" w:eastAsia="es-ES"/>
    </w:rPr>
  </w:style>
  <w:style w:type="paragraph" w:styleId="Ttulo6">
    <w:name w:val="heading 6"/>
    <w:basedOn w:val="Normal"/>
    <w:link w:val="Ttulo6Car"/>
    <w:uiPriority w:val="99"/>
    <w:qFormat/>
    <w:rsid w:val="00AB0460"/>
    <w:pPr>
      <w:numPr>
        <w:ilvl w:val="5"/>
        <w:numId w:val="9"/>
      </w:numPr>
      <w:spacing w:before="100" w:beforeAutospacing="1" w:after="100" w:afterAutospacing="1"/>
      <w:outlineLvl w:val="5"/>
    </w:pPr>
    <w:rPr>
      <w:rFonts w:ascii="Times New Roman" w:hAnsi="Times New Roman"/>
      <w:b/>
      <w:bCs/>
      <w:sz w:val="15"/>
      <w:szCs w:val="15"/>
      <w:lang w:val="es-ES" w:eastAsia="es-ES"/>
    </w:rPr>
  </w:style>
  <w:style w:type="paragraph" w:styleId="Ttulo7">
    <w:name w:val="heading 7"/>
    <w:basedOn w:val="Normal"/>
    <w:next w:val="Normal"/>
    <w:link w:val="Ttulo7Car"/>
    <w:uiPriority w:val="99"/>
    <w:qFormat/>
    <w:rsid w:val="00AB0460"/>
    <w:pPr>
      <w:numPr>
        <w:ilvl w:val="6"/>
        <w:numId w:val="9"/>
      </w:numPr>
      <w:spacing w:before="240" w:after="60"/>
      <w:outlineLvl w:val="6"/>
    </w:pPr>
    <w:rPr>
      <w:rFonts w:ascii="Times New Roman" w:hAnsi="Times New Roman"/>
      <w:sz w:val="24"/>
      <w:szCs w:val="24"/>
      <w:lang w:val="es-ES" w:eastAsia="es-ES"/>
    </w:rPr>
  </w:style>
  <w:style w:type="paragraph" w:styleId="Ttulo8">
    <w:name w:val="heading 8"/>
    <w:basedOn w:val="Normal"/>
    <w:next w:val="Normal"/>
    <w:link w:val="Ttulo8Car"/>
    <w:uiPriority w:val="99"/>
    <w:qFormat/>
    <w:rsid w:val="00AB0460"/>
    <w:pPr>
      <w:numPr>
        <w:ilvl w:val="7"/>
        <w:numId w:val="9"/>
      </w:numPr>
      <w:spacing w:before="240" w:after="60"/>
      <w:outlineLvl w:val="7"/>
    </w:pPr>
    <w:rPr>
      <w:rFonts w:ascii="Times New Roman" w:hAnsi="Times New Roman"/>
      <w:i/>
      <w:iCs/>
      <w:sz w:val="24"/>
      <w:szCs w:val="24"/>
      <w:lang w:val="es-ES" w:eastAsia="es-ES"/>
    </w:rPr>
  </w:style>
  <w:style w:type="paragraph" w:styleId="Ttulo9">
    <w:name w:val="heading 9"/>
    <w:basedOn w:val="Normal"/>
    <w:next w:val="Normal"/>
    <w:link w:val="Ttulo9Car"/>
    <w:uiPriority w:val="99"/>
    <w:qFormat/>
    <w:rsid w:val="00AB0460"/>
    <w:pPr>
      <w:numPr>
        <w:ilvl w:val="8"/>
        <w:numId w:val="9"/>
      </w:numPr>
      <w:spacing w:before="240" w:after="60"/>
      <w:outlineLvl w:val="8"/>
    </w:pPr>
    <w:rPr>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68273A"/>
    <w:rPr>
      <w:rFonts w:ascii="Arial" w:hAnsi="Arial" w:cs="Times New Roman"/>
      <w:b/>
      <w:kern w:val="32"/>
      <w:sz w:val="32"/>
      <w:lang w:val="es-ES_tradnl" w:eastAsia="es-CO"/>
    </w:rPr>
  </w:style>
  <w:style w:type="character" w:customStyle="1" w:styleId="Ttulo2Car">
    <w:name w:val="Título 2 Car"/>
    <w:link w:val="Ttulo2"/>
    <w:uiPriority w:val="99"/>
    <w:locked/>
    <w:rsid w:val="0068273A"/>
    <w:rPr>
      <w:rFonts w:ascii="Arial" w:hAnsi="Arial" w:cs="Times New Roman"/>
      <w:b/>
      <w:sz w:val="28"/>
      <w:lang w:val="es-ES_tradnl" w:eastAsia="es-CO"/>
    </w:rPr>
  </w:style>
  <w:style w:type="character" w:customStyle="1" w:styleId="Ttulo3Car">
    <w:name w:val="Título 3 Car"/>
    <w:link w:val="Ttulo3"/>
    <w:uiPriority w:val="99"/>
    <w:locked/>
    <w:rsid w:val="00AB0460"/>
    <w:rPr>
      <w:rFonts w:ascii="Arial" w:hAnsi="Arial" w:cs="Times New Roman"/>
      <w:b/>
      <w:sz w:val="26"/>
      <w:lang w:val="es-ES" w:eastAsia="es-ES"/>
    </w:rPr>
  </w:style>
  <w:style w:type="character" w:customStyle="1" w:styleId="Ttulo4Car">
    <w:name w:val="Título 4 Car"/>
    <w:link w:val="Ttulo4"/>
    <w:uiPriority w:val="99"/>
    <w:locked/>
    <w:rsid w:val="00AB0460"/>
    <w:rPr>
      <w:rFonts w:ascii="Arial" w:hAnsi="Arial" w:cs="Times New Roman"/>
      <w:sz w:val="28"/>
      <w:lang w:val="es-ES" w:eastAsia="es-ES"/>
    </w:rPr>
  </w:style>
  <w:style w:type="character" w:customStyle="1" w:styleId="Ttulo5Car">
    <w:name w:val="Título 5 Car"/>
    <w:link w:val="Ttulo5"/>
    <w:uiPriority w:val="99"/>
    <w:locked/>
    <w:rsid w:val="00AB0460"/>
    <w:rPr>
      <w:rFonts w:cs="Times New Roman"/>
      <w:b/>
      <w:sz w:val="26"/>
      <w:u w:val="single"/>
      <w:lang w:val="es-ES" w:eastAsia="es-ES"/>
    </w:rPr>
  </w:style>
  <w:style w:type="character" w:customStyle="1" w:styleId="Ttulo6Car">
    <w:name w:val="Título 6 Car"/>
    <w:link w:val="Ttulo6"/>
    <w:uiPriority w:val="99"/>
    <w:locked/>
    <w:rsid w:val="00AB0460"/>
    <w:rPr>
      <w:rFonts w:cs="Times New Roman"/>
      <w:b/>
      <w:sz w:val="15"/>
      <w:lang w:val="es-ES" w:eastAsia="es-ES"/>
    </w:rPr>
  </w:style>
  <w:style w:type="character" w:customStyle="1" w:styleId="Ttulo7Car">
    <w:name w:val="Título 7 Car"/>
    <w:link w:val="Ttulo7"/>
    <w:uiPriority w:val="99"/>
    <w:locked/>
    <w:rsid w:val="00AB0460"/>
    <w:rPr>
      <w:rFonts w:cs="Times New Roman"/>
      <w:sz w:val="24"/>
      <w:lang w:val="es-ES" w:eastAsia="es-ES"/>
    </w:rPr>
  </w:style>
  <w:style w:type="character" w:customStyle="1" w:styleId="Ttulo8Car">
    <w:name w:val="Título 8 Car"/>
    <w:link w:val="Ttulo8"/>
    <w:uiPriority w:val="99"/>
    <w:locked/>
    <w:rsid w:val="00AB0460"/>
    <w:rPr>
      <w:rFonts w:cs="Times New Roman"/>
      <w:i/>
      <w:sz w:val="24"/>
      <w:lang w:val="es-ES" w:eastAsia="es-ES"/>
    </w:rPr>
  </w:style>
  <w:style w:type="character" w:customStyle="1" w:styleId="Ttulo9Car">
    <w:name w:val="Título 9 Car"/>
    <w:link w:val="Ttulo9"/>
    <w:uiPriority w:val="99"/>
    <w:locked/>
    <w:rsid w:val="00AB0460"/>
    <w:rPr>
      <w:rFonts w:ascii="Arial" w:hAnsi="Arial" w:cs="Times New Roman"/>
      <w:sz w:val="22"/>
      <w:lang w:val="es-ES" w:eastAsia="es-ES"/>
    </w:rPr>
  </w:style>
  <w:style w:type="paragraph" w:styleId="Textocomentario">
    <w:name w:val="annotation text"/>
    <w:basedOn w:val="Normal"/>
    <w:link w:val="TextocomentarioCar"/>
    <w:uiPriority w:val="99"/>
    <w:rsid w:val="0068273A"/>
    <w:rPr>
      <w:sz w:val="20"/>
      <w:lang w:eastAsia="es-ES"/>
    </w:rPr>
  </w:style>
  <w:style w:type="character" w:customStyle="1" w:styleId="TextocomentarioCar">
    <w:name w:val="Texto comentario Car"/>
    <w:link w:val="Textocomentario"/>
    <w:uiPriority w:val="99"/>
    <w:locked/>
    <w:rsid w:val="0068273A"/>
    <w:rPr>
      <w:rFonts w:ascii="Arial" w:hAnsi="Arial" w:cs="Times New Roman"/>
      <w:lang w:val="es-ES_tradnl"/>
    </w:rPr>
  </w:style>
  <w:style w:type="paragraph" w:styleId="NormalWeb">
    <w:name w:val="Normal (Web)"/>
    <w:basedOn w:val="Normal"/>
    <w:uiPriority w:val="99"/>
    <w:rsid w:val="0068273A"/>
    <w:pPr>
      <w:spacing w:before="100" w:beforeAutospacing="1" w:after="100" w:afterAutospacing="1"/>
      <w:jc w:val="left"/>
    </w:pPr>
    <w:rPr>
      <w:rFonts w:ascii="Times New Roman" w:hAnsi="Times New Roman"/>
      <w:color w:val="663300"/>
      <w:sz w:val="24"/>
      <w:szCs w:val="24"/>
      <w:lang w:val="es-CO"/>
    </w:rPr>
  </w:style>
  <w:style w:type="paragraph" w:customStyle="1" w:styleId="ListParagraph1">
    <w:name w:val="List Paragraph1"/>
    <w:basedOn w:val="Normal"/>
    <w:uiPriority w:val="99"/>
    <w:rsid w:val="0068273A"/>
    <w:pPr>
      <w:pBdr>
        <w:left w:val="single" w:sz="4" w:space="1" w:color="auto"/>
      </w:pBdr>
      <w:ind w:left="720"/>
      <w:contextualSpacing/>
    </w:pPr>
    <w:rPr>
      <w:rFonts w:cs="Arial"/>
      <w:b/>
      <w:sz w:val="20"/>
      <w:lang w:val="es-ES" w:eastAsia="en-US"/>
    </w:rPr>
  </w:style>
  <w:style w:type="paragraph" w:styleId="Textodeglobo">
    <w:name w:val="Balloon Text"/>
    <w:basedOn w:val="Normal"/>
    <w:link w:val="TextodegloboCar"/>
    <w:uiPriority w:val="99"/>
    <w:semiHidden/>
    <w:rsid w:val="0068273A"/>
    <w:rPr>
      <w:rFonts w:ascii="Tahoma" w:hAnsi="Tahoma"/>
      <w:sz w:val="16"/>
      <w:szCs w:val="16"/>
    </w:rPr>
  </w:style>
  <w:style w:type="character" w:customStyle="1" w:styleId="TextodegloboCar">
    <w:name w:val="Texto de globo Car"/>
    <w:link w:val="Textodeglobo"/>
    <w:uiPriority w:val="99"/>
    <w:semiHidden/>
    <w:locked/>
    <w:rsid w:val="0068273A"/>
    <w:rPr>
      <w:rFonts w:ascii="Tahoma" w:hAnsi="Tahoma" w:cs="Times New Roman"/>
      <w:sz w:val="16"/>
      <w:lang w:val="es-ES_tradnl" w:eastAsia="es-CO"/>
    </w:rPr>
  </w:style>
  <w:style w:type="paragraph" w:styleId="Encabezado">
    <w:name w:val="header"/>
    <w:basedOn w:val="Normal"/>
    <w:link w:val="EncabezadoCar"/>
    <w:rsid w:val="00054624"/>
    <w:pPr>
      <w:tabs>
        <w:tab w:val="center" w:pos="4419"/>
        <w:tab w:val="right" w:pos="8838"/>
      </w:tabs>
    </w:pPr>
    <w:rPr>
      <w:lang w:eastAsia="es-ES"/>
    </w:rPr>
  </w:style>
  <w:style w:type="character" w:customStyle="1" w:styleId="EncabezadoCar">
    <w:name w:val="Encabezado Car"/>
    <w:link w:val="Encabezado"/>
    <w:locked/>
    <w:rsid w:val="00054624"/>
    <w:rPr>
      <w:rFonts w:ascii="Arial" w:hAnsi="Arial" w:cs="Times New Roman"/>
      <w:sz w:val="18"/>
      <w:lang w:val="es-ES_tradnl"/>
    </w:rPr>
  </w:style>
  <w:style w:type="paragraph" w:styleId="Piedepgina">
    <w:name w:val="footer"/>
    <w:basedOn w:val="Normal"/>
    <w:link w:val="PiedepginaCar"/>
    <w:rsid w:val="00054624"/>
    <w:pPr>
      <w:tabs>
        <w:tab w:val="center" w:pos="4419"/>
        <w:tab w:val="right" w:pos="8838"/>
      </w:tabs>
    </w:pPr>
    <w:rPr>
      <w:lang w:eastAsia="es-ES"/>
    </w:rPr>
  </w:style>
  <w:style w:type="character" w:customStyle="1" w:styleId="PiedepginaCar">
    <w:name w:val="Pie de página Car"/>
    <w:link w:val="Piedepgina"/>
    <w:locked/>
    <w:rsid w:val="00054624"/>
    <w:rPr>
      <w:rFonts w:ascii="Arial" w:hAnsi="Arial" w:cs="Times New Roman"/>
      <w:sz w:val="18"/>
      <w:lang w:val="es-ES_tradnl"/>
    </w:rPr>
  </w:style>
  <w:style w:type="character" w:styleId="Nmerodepgina">
    <w:name w:val="page number"/>
    <w:uiPriority w:val="99"/>
    <w:rsid w:val="00054624"/>
    <w:rPr>
      <w:rFonts w:cs="Times New Roman"/>
    </w:rPr>
  </w:style>
  <w:style w:type="paragraph" w:customStyle="1" w:styleId="Encabezadodetabladecontenido1">
    <w:name w:val="Encabezado de tabla de contenido1"/>
    <w:basedOn w:val="Ttulo1"/>
    <w:next w:val="Normal"/>
    <w:uiPriority w:val="99"/>
    <w:semiHidden/>
    <w:rsid w:val="002D3770"/>
    <w:pPr>
      <w:keepLines/>
      <w:spacing w:before="480" w:after="0" w:line="276" w:lineRule="auto"/>
      <w:jc w:val="left"/>
      <w:outlineLvl w:val="9"/>
    </w:pPr>
    <w:rPr>
      <w:rFonts w:ascii="Cambria" w:hAnsi="Cambria"/>
      <w:color w:val="365F91"/>
      <w:kern w:val="0"/>
      <w:sz w:val="28"/>
      <w:szCs w:val="28"/>
      <w:lang w:val="es-CO"/>
    </w:rPr>
  </w:style>
  <w:style w:type="paragraph" w:styleId="TDC1">
    <w:name w:val="toc 1"/>
    <w:basedOn w:val="Normal"/>
    <w:next w:val="Normal"/>
    <w:autoRedefine/>
    <w:uiPriority w:val="99"/>
    <w:rsid w:val="007640B9"/>
    <w:pPr>
      <w:tabs>
        <w:tab w:val="right" w:leader="dot" w:pos="9072"/>
      </w:tabs>
      <w:spacing w:before="240" w:after="120"/>
    </w:pPr>
    <w:rPr>
      <w:b/>
      <w:bCs/>
      <w:sz w:val="16"/>
    </w:rPr>
  </w:style>
  <w:style w:type="paragraph" w:styleId="TDC2">
    <w:name w:val="toc 2"/>
    <w:basedOn w:val="Normal"/>
    <w:next w:val="Normal"/>
    <w:autoRedefine/>
    <w:uiPriority w:val="99"/>
    <w:rsid w:val="007640B9"/>
    <w:pPr>
      <w:tabs>
        <w:tab w:val="right" w:leader="dot" w:pos="9072"/>
      </w:tabs>
      <w:ind w:left="180"/>
      <w:jc w:val="left"/>
    </w:pPr>
    <w:rPr>
      <w:iCs/>
      <w:sz w:val="16"/>
    </w:rPr>
  </w:style>
  <w:style w:type="character" w:styleId="Hipervnculo">
    <w:name w:val="Hyperlink"/>
    <w:uiPriority w:val="99"/>
    <w:rsid w:val="002D3770"/>
    <w:rPr>
      <w:rFonts w:cs="Times New Roman"/>
      <w:color w:val="0000FF"/>
      <w:u w:val="single"/>
    </w:rPr>
  </w:style>
  <w:style w:type="paragraph" w:styleId="TDC3">
    <w:name w:val="toc 3"/>
    <w:basedOn w:val="Normal"/>
    <w:next w:val="Normal"/>
    <w:autoRedefine/>
    <w:uiPriority w:val="99"/>
    <w:rsid w:val="002D3770"/>
    <w:pPr>
      <w:ind w:left="360"/>
      <w:jc w:val="left"/>
    </w:pPr>
    <w:rPr>
      <w:rFonts w:ascii="Calibri" w:hAnsi="Calibri"/>
      <w:sz w:val="20"/>
    </w:rPr>
  </w:style>
  <w:style w:type="paragraph" w:styleId="TDC4">
    <w:name w:val="toc 4"/>
    <w:basedOn w:val="Normal"/>
    <w:next w:val="Normal"/>
    <w:autoRedefine/>
    <w:uiPriority w:val="99"/>
    <w:rsid w:val="002D3770"/>
    <w:pPr>
      <w:ind w:left="540"/>
      <w:jc w:val="left"/>
    </w:pPr>
    <w:rPr>
      <w:rFonts w:ascii="Calibri" w:hAnsi="Calibri"/>
      <w:sz w:val="20"/>
    </w:rPr>
  </w:style>
  <w:style w:type="paragraph" w:styleId="TDC5">
    <w:name w:val="toc 5"/>
    <w:basedOn w:val="Normal"/>
    <w:next w:val="Normal"/>
    <w:autoRedefine/>
    <w:uiPriority w:val="99"/>
    <w:rsid w:val="002D3770"/>
    <w:pPr>
      <w:ind w:left="720"/>
      <w:jc w:val="left"/>
    </w:pPr>
    <w:rPr>
      <w:rFonts w:ascii="Calibri" w:hAnsi="Calibri"/>
      <w:sz w:val="20"/>
    </w:rPr>
  </w:style>
  <w:style w:type="paragraph" w:styleId="TDC6">
    <w:name w:val="toc 6"/>
    <w:basedOn w:val="Normal"/>
    <w:next w:val="Normal"/>
    <w:autoRedefine/>
    <w:uiPriority w:val="99"/>
    <w:rsid w:val="002D3770"/>
    <w:pPr>
      <w:ind w:left="900"/>
      <w:jc w:val="left"/>
    </w:pPr>
    <w:rPr>
      <w:rFonts w:ascii="Calibri" w:hAnsi="Calibri"/>
      <w:sz w:val="20"/>
    </w:rPr>
  </w:style>
  <w:style w:type="paragraph" w:styleId="TDC7">
    <w:name w:val="toc 7"/>
    <w:basedOn w:val="Normal"/>
    <w:next w:val="Normal"/>
    <w:autoRedefine/>
    <w:uiPriority w:val="99"/>
    <w:rsid w:val="002D3770"/>
    <w:pPr>
      <w:ind w:left="1080"/>
      <w:jc w:val="left"/>
    </w:pPr>
    <w:rPr>
      <w:rFonts w:ascii="Calibri" w:hAnsi="Calibri"/>
      <w:sz w:val="20"/>
    </w:rPr>
  </w:style>
  <w:style w:type="paragraph" w:styleId="TDC8">
    <w:name w:val="toc 8"/>
    <w:basedOn w:val="Normal"/>
    <w:next w:val="Normal"/>
    <w:autoRedefine/>
    <w:uiPriority w:val="99"/>
    <w:rsid w:val="002D3770"/>
    <w:pPr>
      <w:ind w:left="1260"/>
      <w:jc w:val="left"/>
    </w:pPr>
    <w:rPr>
      <w:rFonts w:ascii="Calibri" w:hAnsi="Calibri"/>
      <w:sz w:val="20"/>
    </w:rPr>
  </w:style>
  <w:style w:type="paragraph" w:styleId="TDC9">
    <w:name w:val="toc 9"/>
    <w:basedOn w:val="Normal"/>
    <w:next w:val="Normal"/>
    <w:autoRedefine/>
    <w:uiPriority w:val="99"/>
    <w:rsid w:val="002D3770"/>
    <w:pPr>
      <w:ind w:left="1440"/>
      <w:jc w:val="left"/>
    </w:pPr>
    <w:rPr>
      <w:rFonts w:ascii="Calibri" w:hAnsi="Calibri"/>
      <w:sz w:val="20"/>
    </w:rPr>
  </w:style>
  <w:style w:type="paragraph" w:styleId="Textoindependiente">
    <w:name w:val="Body Text"/>
    <w:basedOn w:val="Normal"/>
    <w:link w:val="TextoindependienteCar"/>
    <w:uiPriority w:val="99"/>
    <w:rsid w:val="008F487D"/>
    <w:pPr>
      <w:spacing w:after="120"/>
    </w:pPr>
  </w:style>
  <w:style w:type="character" w:customStyle="1" w:styleId="TextoindependienteCar">
    <w:name w:val="Texto independiente Car"/>
    <w:link w:val="Textoindependiente"/>
    <w:uiPriority w:val="99"/>
    <w:locked/>
    <w:rsid w:val="008F487D"/>
    <w:rPr>
      <w:rFonts w:ascii="Arial" w:hAnsi="Arial" w:cs="Times New Roman"/>
      <w:sz w:val="18"/>
      <w:lang w:val="es-ES_tradnl" w:eastAsia="es-CO"/>
    </w:rPr>
  </w:style>
  <w:style w:type="paragraph" w:customStyle="1" w:styleId="Prrafodelista1">
    <w:name w:val="Párrafo de lista1"/>
    <w:basedOn w:val="Normal"/>
    <w:uiPriority w:val="99"/>
    <w:rsid w:val="008F487D"/>
    <w:pPr>
      <w:ind w:left="720"/>
      <w:contextualSpacing/>
      <w:jc w:val="left"/>
    </w:pPr>
    <w:rPr>
      <w:rFonts w:ascii="Times New Roman" w:hAnsi="Times New Roman"/>
      <w:sz w:val="20"/>
      <w:lang w:eastAsia="es-ES"/>
    </w:rPr>
  </w:style>
  <w:style w:type="character" w:styleId="Refdecomentario">
    <w:name w:val="annotation reference"/>
    <w:uiPriority w:val="99"/>
    <w:semiHidden/>
    <w:rsid w:val="00F84BEB"/>
    <w:rPr>
      <w:rFonts w:cs="Times New Roman"/>
      <w:sz w:val="18"/>
    </w:rPr>
  </w:style>
  <w:style w:type="paragraph" w:styleId="Asuntodelcomentario">
    <w:name w:val="annotation subject"/>
    <w:basedOn w:val="Textocomentario"/>
    <w:next w:val="Textocomentario"/>
    <w:link w:val="AsuntodelcomentarioCar"/>
    <w:uiPriority w:val="99"/>
    <w:semiHidden/>
    <w:rsid w:val="00F84BEB"/>
    <w:rPr>
      <w:b/>
      <w:bCs/>
    </w:rPr>
  </w:style>
  <w:style w:type="character" w:customStyle="1" w:styleId="AsuntodelcomentarioCar">
    <w:name w:val="Asunto del comentario Car"/>
    <w:link w:val="Asuntodelcomentario"/>
    <w:uiPriority w:val="99"/>
    <w:semiHidden/>
    <w:locked/>
    <w:rsid w:val="00F84BEB"/>
    <w:rPr>
      <w:rFonts w:ascii="Arial" w:hAnsi="Arial" w:cs="Times New Roman"/>
      <w:b/>
      <w:lang w:val="es-ES_tradnl" w:eastAsia="es-CO"/>
    </w:rPr>
  </w:style>
  <w:style w:type="paragraph" w:customStyle="1" w:styleId="Sombreadovistoso-nfasis11">
    <w:name w:val="Sombreado vistoso - Énfasis 11"/>
    <w:hidden/>
    <w:uiPriority w:val="99"/>
    <w:rsid w:val="001C0EE5"/>
    <w:rPr>
      <w:rFonts w:ascii="Arial" w:hAnsi="Arial"/>
      <w:sz w:val="18"/>
      <w:lang w:val="es-ES_tradnl" w:eastAsia="es-CO"/>
    </w:rPr>
  </w:style>
  <w:style w:type="character" w:customStyle="1" w:styleId="normaltextrun">
    <w:name w:val="normaltextrun"/>
    <w:basedOn w:val="Fuentedeprrafopredeter"/>
    <w:rsid w:val="00E65029"/>
  </w:style>
  <w:style w:type="paragraph" w:styleId="Prrafodelista">
    <w:name w:val="List Paragraph"/>
    <w:basedOn w:val="Normal"/>
    <w:uiPriority w:val="34"/>
    <w:qFormat/>
    <w:rsid w:val="00005141"/>
    <w:pPr>
      <w:ind w:left="720"/>
      <w:contextualSpacing/>
      <w:jc w:val="left"/>
    </w:pPr>
    <w:rPr>
      <w:sz w:val="24"/>
      <w:lang w:val="es-ES"/>
    </w:rPr>
  </w:style>
  <w:style w:type="paragraph" w:styleId="Revisin">
    <w:name w:val="Revision"/>
    <w:hidden/>
    <w:uiPriority w:val="71"/>
    <w:semiHidden/>
    <w:rsid w:val="00B52052"/>
    <w:rPr>
      <w:rFonts w:ascii="Arial" w:hAnsi="Arial"/>
      <w:sz w:val="18"/>
      <w:lang w:val="es-ES_tradnl" w:eastAsia="es-CO"/>
    </w:rPr>
  </w:style>
  <w:style w:type="paragraph" w:styleId="Textoindependiente2">
    <w:name w:val="Body Text 2"/>
    <w:basedOn w:val="Normal"/>
    <w:link w:val="Textoindependiente2Car"/>
    <w:unhideWhenUsed/>
    <w:locked/>
    <w:rsid w:val="00C71FC7"/>
    <w:pPr>
      <w:spacing w:after="120" w:line="480" w:lineRule="auto"/>
      <w:jc w:val="left"/>
    </w:pPr>
    <w:rPr>
      <w:rFonts w:ascii="Courier" w:hAnsi="Courier"/>
      <w:sz w:val="24"/>
      <w:lang w:val="es-CO" w:eastAsia="es-ES"/>
    </w:rPr>
  </w:style>
  <w:style w:type="character" w:customStyle="1" w:styleId="Textoindependiente2Car">
    <w:name w:val="Texto independiente 2 Car"/>
    <w:basedOn w:val="Fuentedeprrafopredeter"/>
    <w:link w:val="Textoindependiente2"/>
    <w:rsid w:val="00C71FC7"/>
    <w:rPr>
      <w:rFonts w:ascii="Courier" w:hAnsi="Courier"/>
      <w:sz w:val="24"/>
      <w:lang w:val="es-CO" w:eastAsia="es-ES"/>
    </w:rPr>
  </w:style>
  <w:style w:type="character" w:customStyle="1" w:styleId="eop">
    <w:name w:val="eop"/>
    <w:basedOn w:val="Fuentedeprrafopredeter"/>
    <w:rsid w:val="00020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73012">
      <w:bodyDiv w:val="1"/>
      <w:marLeft w:val="0"/>
      <w:marRight w:val="0"/>
      <w:marTop w:val="0"/>
      <w:marBottom w:val="0"/>
      <w:divBdr>
        <w:top w:val="none" w:sz="0" w:space="0" w:color="auto"/>
        <w:left w:val="none" w:sz="0" w:space="0" w:color="auto"/>
        <w:bottom w:val="none" w:sz="0" w:space="0" w:color="auto"/>
        <w:right w:val="none" w:sz="0" w:space="0" w:color="auto"/>
      </w:divBdr>
    </w:div>
    <w:div w:id="1100830133">
      <w:bodyDiv w:val="1"/>
      <w:marLeft w:val="0"/>
      <w:marRight w:val="0"/>
      <w:marTop w:val="0"/>
      <w:marBottom w:val="0"/>
      <w:divBdr>
        <w:top w:val="none" w:sz="0" w:space="0" w:color="auto"/>
        <w:left w:val="none" w:sz="0" w:space="0" w:color="auto"/>
        <w:bottom w:val="none" w:sz="0" w:space="0" w:color="auto"/>
        <w:right w:val="none" w:sz="0" w:space="0" w:color="auto"/>
      </w:divBdr>
    </w:div>
    <w:div w:id="1448693823">
      <w:bodyDiv w:val="1"/>
      <w:marLeft w:val="0"/>
      <w:marRight w:val="0"/>
      <w:marTop w:val="0"/>
      <w:marBottom w:val="0"/>
      <w:divBdr>
        <w:top w:val="none" w:sz="0" w:space="0" w:color="auto"/>
        <w:left w:val="none" w:sz="0" w:space="0" w:color="auto"/>
        <w:bottom w:val="none" w:sz="0" w:space="0" w:color="auto"/>
        <w:right w:val="none" w:sz="0" w:space="0" w:color="auto"/>
      </w:divBdr>
    </w:div>
    <w:div w:id="1748067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FD68574237D849A835D1FFB895F586" ma:contentTypeVersion="4" ma:contentTypeDescription="Crear nuevo documento." ma:contentTypeScope="" ma:versionID="1746293a2f1bdf4ca5a4ecf965289764">
  <xsd:schema xmlns:xsd="http://www.w3.org/2001/XMLSchema" xmlns:xs="http://www.w3.org/2001/XMLSchema" xmlns:p="http://schemas.microsoft.com/office/2006/metadata/properties" xmlns:ns2="2806e0fb-3321-4a19-a0bb-629fbbee7344" xmlns:ns3="87507fc1-2ee4-4bca-8654-35e95601ee33" targetNamespace="http://schemas.microsoft.com/office/2006/metadata/properties" ma:root="true" ma:fieldsID="d7b1bc0c42af8b5bb8ca7b880f60357e" ns2:_="" ns3:_="">
    <xsd:import namespace="2806e0fb-3321-4a19-a0bb-629fbbee7344"/>
    <xsd:import namespace="87507fc1-2ee4-4bca-8654-35e95601e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6e0fb-3321-4a19-a0bb-629fbbee7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07fc1-2ee4-4bca-8654-35e95601ee3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91FAF-5BF9-4417-82E6-C364D4886BEC}">
  <ds:schemaRefs>
    <ds:schemaRef ds:uri="http://schemas.microsoft.com/sharepoint/v3/contenttype/forms"/>
  </ds:schemaRefs>
</ds:datastoreItem>
</file>

<file path=customXml/itemProps2.xml><?xml version="1.0" encoding="utf-8"?>
<ds:datastoreItem xmlns:ds="http://schemas.openxmlformats.org/officeDocument/2006/customXml" ds:itemID="{CC2C9BD0-BF42-45C9-996A-BD712AA74656}"/>
</file>

<file path=customXml/itemProps3.xml><?xml version="1.0" encoding="utf-8"?>
<ds:datastoreItem xmlns:ds="http://schemas.openxmlformats.org/officeDocument/2006/customXml" ds:itemID="{ABC58792-932E-4B78-899F-843FF9B1A2B6}">
  <ds:schemaRefs>
    <ds:schemaRef ds:uri="09f3234f-540a-47d9-9911-831b2befbdf1"/>
    <ds:schemaRef ds:uri="http://purl.org/dc/dcmitype/"/>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4b7b0785-c4d7-436d-b897-38901db80b41"/>
    <ds:schemaRef ds:uri="http://schemas.microsoft.com/office/2006/metadata/properties"/>
  </ds:schemaRefs>
</ds:datastoreItem>
</file>

<file path=customXml/itemProps4.xml><?xml version="1.0" encoding="utf-8"?>
<ds:datastoreItem xmlns:ds="http://schemas.openxmlformats.org/officeDocument/2006/customXml" ds:itemID="{FF115335-E614-4C6E-BDFD-2220CB4F6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2743</Words>
  <Characters>15321</Characters>
  <Application>Microsoft Office Word</Application>
  <DocSecurity>0</DocSecurity>
  <Lines>127</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PARTE II</vt:lpstr>
      <vt:lpstr>PARTE II</vt:lpstr>
    </vt:vector>
  </TitlesOfParts>
  <Company>Toshiba</Company>
  <LinksUpToDate>false</LinksUpToDate>
  <CharactersWithSpaces>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subject/>
  <dc:creator>Yuri Castañeda</dc:creator>
  <cp:keywords/>
  <dc:description/>
  <cp:lastModifiedBy>Juan Camilo Zuluaga Gomez</cp:lastModifiedBy>
  <cp:revision>5</cp:revision>
  <dcterms:created xsi:type="dcterms:W3CDTF">2021-03-24T23:07:00Z</dcterms:created>
  <dcterms:modified xsi:type="dcterms:W3CDTF">2021-03-25T00:00:00Z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0x010100C0FD68574237D849A835D1FFB895F586</vt:lpwstr>
  </property>
</Properties>
</file>