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8F992D" w14:textId="77777777" w:rsidR="00E62366" w:rsidRPr="005974F4" w:rsidRDefault="00E62366" w:rsidP="00E62366">
      <w:pPr>
        <w:jc w:val="center"/>
        <w:rPr>
          <w:b/>
          <w:sz w:val="16"/>
          <w:szCs w:val="16"/>
        </w:rPr>
      </w:pPr>
      <w:r w:rsidRPr="005974F4">
        <w:rPr>
          <w:b/>
          <w:sz w:val="16"/>
          <w:szCs w:val="16"/>
        </w:rPr>
        <w:t>PARTE II</w:t>
      </w:r>
    </w:p>
    <w:p w14:paraId="59F40A0B" w14:textId="77777777" w:rsidR="00E62366" w:rsidRPr="005974F4" w:rsidRDefault="00E62366" w:rsidP="00E62366">
      <w:pPr>
        <w:jc w:val="center"/>
        <w:rPr>
          <w:b/>
          <w:sz w:val="16"/>
          <w:szCs w:val="16"/>
        </w:rPr>
      </w:pPr>
      <w:r w:rsidRPr="005974F4">
        <w:rPr>
          <w:b/>
          <w:sz w:val="16"/>
          <w:szCs w:val="16"/>
        </w:rPr>
        <w:t>MERCADO INTERMEDIADO</w:t>
      </w:r>
    </w:p>
    <w:p w14:paraId="023238C5" w14:textId="77777777" w:rsidR="00E62366" w:rsidRPr="005974F4" w:rsidRDefault="00E62366" w:rsidP="00E62366">
      <w:pPr>
        <w:jc w:val="center"/>
        <w:rPr>
          <w:b/>
          <w:sz w:val="16"/>
          <w:szCs w:val="16"/>
        </w:rPr>
      </w:pPr>
    </w:p>
    <w:p w14:paraId="5BB88FD8" w14:textId="77777777" w:rsidR="00E62366" w:rsidRPr="005974F4" w:rsidRDefault="00E62366" w:rsidP="00E62366">
      <w:pPr>
        <w:jc w:val="center"/>
        <w:rPr>
          <w:b/>
          <w:sz w:val="16"/>
          <w:szCs w:val="16"/>
        </w:rPr>
      </w:pPr>
      <w:r w:rsidRPr="005974F4">
        <w:rPr>
          <w:b/>
          <w:sz w:val="16"/>
          <w:szCs w:val="16"/>
        </w:rPr>
        <w:t>TÍTULO IV</w:t>
      </w:r>
    </w:p>
    <w:p w14:paraId="527326BD" w14:textId="77777777" w:rsidR="00E62366" w:rsidRPr="005974F4" w:rsidRDefault="00E62366" w:rsidP="00E62366">
      <w:pPr>
        <w:jc w:val="center"/>
        <w:rPr>
          <w:b/>
          <w:sz w:val="16"/>
          <w:szCs w:val="16"/>
        </w:rPr>
      </w:pPr>
      <w:r w:rsidRPr="005974F4">
        <w:rPr>
          <w:b/>
          <w:sz w:val="16"/>
          <w:szCs w:val="16"/>
        </w:rPr>
        <w:t>INSTRUCCIONES GENERALES RELATIVAS A LAS OPERACIONES DE LAS ENTIDADES ASEGURADORAS, CAPITALIZACIÓN E INTERMEDIARIOS DE SEGUROS</w:t>
      </w:r>
    </w:p>
    <w:p w14:paraId="26A20644" w14:textId="77777777" w:rsidR="00E62366" w:rsidRPr="005974F4" w:rsidRDefault="00E62366" w:rsidP="00E62366">
      <w:pPr>
        <w:jc w:val="center"/>
        <w:rPr>
          <w:b/>
          <w:sz w:val="16"/>
          <w:szCs w:val="16"/>
        </w:rPr>
      </w:pPr>
    </w:p>
    <w:p w14:paraId="30D71DDE" w14:textId="77777777" w:rsidR="00E62366" w:rsidRDefault="00E62366" w:rsidP="00E62366">
      <w:pPr>
        <w:jc w:val="center"/>
        <w:rPr>
          <w:b/>
          <w:sz w:val="16"/>
          <w:szCs w:val="16"/>
        </w:rPr>
      </w:pPr>
      <w:r w:rsidRPr="005974F4">
        <w:rPr>
          <w:b/>
          <w:sz w:val="16"/>
          <w:szCs w:val="16"/>
        </w:rPr>
        <w:t>CAPÍTULO I: DISPOSICIONES ESPECIALES APLICABLES A LAS SOCIEDADES CAPITALIZADORAS</w:t>
      </w:r>
    </w:p>
    <w:p w14:paraId="47A1AC35" w14:textId="77777777" w:rsidR="00E62366" w:rsidRDefault="00E62366" w:rsidP="00E62366">
      <w:pPr>
        <w:rPr>
          <w:b/>
          <w:sz w:val="16"/>
          <w:szCs w:val="16"/>
        </w:rPr>
      </w:pPr>
    </w:p>
    <w:p w14:paraId="20584FF0" w14:textId="77777777" w:rsidR="00E62366" w:rsidRDefault="00E62366" w:rsidP="00E62366">
      <w:pPr>
        <w:rPr>
          <w:b/>
          <w:sz w:val="16"/>
          <w:szCs w:val="16"/>
        </w:rPr>
      </w:pPr>
    </w:p>
    <w:p w14:paraId="76FF6621" w14:textId="77777777" w:rsidR="00E62366" w:rsidRPr="00E62366" w:rsidRDefault="00E62366" w:rsidP="00E62366">
      <w:pPr>
        <w:pStyle w:val="Encabezadodetabladecontenido1"/>
        <w:spacing w:before="0"/>
        <w:rPr>
          <w:rFonts w:ascii="Arial" w:hAnsi="Arial" w:cs="Arial"/>
          <w:color w:val="auto"/>
          <w:sz w:val="16"/>
          <w:szCs w:val="16"/>
        </w:rPr>
      </w:pPr>
      <w:r w:rsidRPr="00E62366">
        <w:rPr>
          <w:rFonts w:ascii="Arial" w:hAnsi="Arial" w:cs="Arial"/>
          <w:color w:val="auto"/>
          <w:sz w:val="16"/>
          <w:szCs w:val="16"/>
          <w:lang w:val="es-ES"/>
        </w:rPr>
        <w:t>CONTENIDO</w:t>
      </w:r>
    </w:p>
    <w:p w14:paraId="3EFDE5D1" w14:textId="77777777" w:rsidR="00F4699A" w:rsidRPr="00936FEA" w:rsidRDefault="00E62366">
      <w:pPr>
        <w:pStyle w:val="TDC1"/>
        <w:tabs>
          <w:tab w:val="right" w:leader="dot" w:pos="8830"/>
        </w:tabs>
        <w:rPr>
          <w:rFonts w:ascii="Cambria" w:eastAsia="MS Mincho" w:hAnsi="Cambria"/>
          <w:b w:val="0"/>
          <w:bCs w:val="0"/>
          <w:noProof/>
          <w:sz w:val="24"/>
          <w:szCs w:val="24"/>
          <w:lang w:val="es-ES_tradnl" w:eastAsia="ja-JP"/>
        </w:rPr>
      </w:pPr>
      <w:r w:rsidRPr="00E62366">
        <w:rPr>
          <w:rFonts w:ascii="Calibri" w:hAnsi="Calibri"/>
          <w:sz w:val="20"/>
        </w:rPr>
        <w:fldChar w:fldCharType="begin"/>
      </w:r>
      <w:r w:rsidRPr="00E62366">
        <w:rPr>
          <w:rFonts w:ascii="Calibri" w:hAnsi="Calibri"/>
          <w:sz w:val="20"/>
        </w:rPr>
        <w:instrText xml:space="preserve"> </w:instrText>
      </w:r>
      <w:r w:rsidR="006E76C8">
        <w:rPr>
          <w:rFonts w:ascii="Calibri" w:hAnsi="Calibri"/>
          <w:sz w:val="20"/>
        </w:rPr>
        <w:instrText>TOC</w:instrText>
      </w:r>
      <w:r w:rsidRPr="00E62366">
        <w:rPr>
          <w:rFonts w:ascii="Calibri" w:hAnsi="Calibri"/>
          <w:sz w:val="20"/>
        </w:rPr>
        <w:instrText xml:space="preserve"> \o "1-2" \h \z \u </w:instrText>
      </w:r>
      <w:r w:rsidRPr="00E62366">
        <w:rPr>
          <w:rFonts w:ascii="Calibri" w:hAnsi="Calibri"/>
          <w:sz w:val="20"/>
        </w:rPr>
        <w:fldChar w:fldCharType="separate"/>
      </w:r>
      <w:r w:rsidR="00F4699A">
        <w:rPr>
          <w:noProof/>
        </w:rPr>
        <w:t>1. PLANES DE CAPITALIZACIÓN</w:t>
      </w:r>
    </w:p>
    <w:p w14:paraId="2D665712" w14:textId="77777777" w:rsidR="00F4699A" w:rsidRPr="00936FEA" w:rsidRDefault="00F4699A">
      <w:pPr>
        <w:pStyle w:val="TDC1"/>
        <w:tabs>
          <w:tab w:val="right" w:leader="dot" w:pos="8830"/>
        </w:tabs>
        <w:rPr>
          <w:rFonts w:ascii="Cambria" w:eastAsia="MS Mincho" w:hAnsi="Cambria"/>
          <w:b w:val="0"/>
          <w:bCs w:val="0"/>
          <w:noProof/>
          <w:sz w:val="24"/>
          <w:szCs w:val="24"/>
          <w:lang w:val="es-ES_tradnl" w:eastAsia="ja-JP"/>
        </w:rPr>
      </w:pPr>
      <w:r>
        <w:rPr>
          <w:noProof/>
        </w:rPr>
        <w:t>2. CONDICIONES DE LOS CONTRATOS</w:t>
      </w:r>
    </w:p>
    <w:p w14:paraId="4A2726B4" w14:textId="77777777" w:rsidR="00F4699A" w:rsidRPr="00936FEA" w:rsidRDefault="00F4699A">
      <w:pPr>
        <w:pStyle w:val="TDC2"/>
        <w:rPr>
          <w:rFonts w:ascii="Cambria" w:eastAsia="MS Mincho" w:hAnsi="Cambria"/>
          <w:iCs w:val="0"/>
          <w:noProof/>
          <w:sz w:val="24"/>
          <w:szCs w:val="24"/>
          <w:lang w:val="es-ES_tradnl" w:eastAsia="ja-JP"/>
        </w:rPr>
      </w:pPr>
      <w:r>
        <w:rPr>
          <w:noProof/>
        </w:rPr>
        <w:t>2.1. Contenido de los títulos</w:t>
      </w:r>
    </w:p>
    <w:p w14:paraId="5B04A713" w14:textId="77777777" w:rsidR="00F4699A" w:rsidRPr="00936FEA" w:rsidRDefault="00F4699A">
      <w:pPr>
        <w:pStyle w:val="TDC2"/>
        <w:rPr>
          <w:rFonts w:ascii="Cambria" w:eastAsia="MS Mincho" w:hAnsi="Cambria"/>
          <w:iCs w:val="0"/>
          <w:noProof/>
          <w:sz w:val="24"/>
          <w:szCs w:val="24"/>
          <w:lang w:val="es-ES_tradnl" w:eastAsia="ja-JP"/>
        </w:rPr>
      </w:pPr>
      <w:r>
        <w:rPr>
          <w:noProof/>
        </w:rPr>
        <w:t>2.2. Condiciones de las notas técnicas</w:t>
      </w:r>
    </w:p>
    <w:p w14:paraId="5C8A5C04" w14:textId="77777777" w:rsidR="00F4699A" w:rsidRPr="00936FEA" w:rsidRDefault="00F4699A">
      <w:pPr>
        <w:pStyle w:val="TDC2"/>
        <w:rPr>
          <w:rFonts w:ascii="Cambria" w:eastAsia="MS Mincho" w:hAnsi="Cambria"/>
          <w:iCs w:val="0"/>
          <w:noProof/>
          <w:sz w:val="24"/>
          <w:szCs w:val="24"/>
          <w:lang w:val="es-ES_tradnl" w:eastAsia="ja-JP"/>
        </w:rPr>
      </w:pPr>
      <w:r>
        <w:rPr>
          <w:noProof/>
        </w:rPr>
        <w:t>2.3. Intereses</w:t>
      </w:r>
    </w:p>
    <w:p w14:paraId="42F8F6AB" w14:textId="77777777" w:rsidR="00F4699A" w:rsidRPr="00936FEA" w:rsidRDefault="00F4699A">
      <w:pPr>
        <w:pStyle w:val="TDC2"/>
        <w:rPr>
          <w:rFonts w:ascii="Cambria" w:eastAsia="MS Mincho" w:hAnsi="Cambria"/>
          <w:iCs w:val="0"/>
          <w:noProof/>
          <w:sz w:val="24"/>
          <w:szCs w:val="24"/>
          <w:lang w:val="es-ES_tradnl" w:eastAsia="ja-JP"/>
        </w:rPr>
      </w:pPr>
      <w:r>
        <w:rPr>
          <w:noProof/>
        </w:rPr>
        <w:t>2.4. Sorteos de capitalización</w:t>
      </w:r>
    </w:p>
    <w:p w14:paraId="641BE991" w14:textId="22F7CE61" w:rsidR="00F4699A" w:rsidRPr="00936FEA" w:rsidRDefault="00F4699A" w:rsidP="000046EF">
      <w:pPr>
        <w:pStyle w:val="TDC2"/>
        <w:tabs>
          <w:tab w:val="clear" w:pos="8830"/>
          <w:tab w:val="left" w:pos="7048"/>
        </w:tabs>
        <w:rPr>
          <w:rFonts w:ascii="Cambria" w:eastAsia="MS Mincho" w:hAnsi="Cambria"/>
          <w:iCs w:val="0"/>
          <w:noProof/>
          <w:sz w:val="24"/>
          <w:szCs w:val="24"/>
          <w:lang w:val="es-ES_tradnl" w:eastAsia="ja-JP"/>
        </w:rPr>
      </w:pPr>
      <w:r>
        <w:rPr>
          <w:noProof/>
        </w:rPr>
        <w:t>2.5. Conservación de títulos e información</w:t>
      </w:r>
      <w:r w:rsidR="000046EF">
        <w:rPr>
          <w:noProof/>
        </w:rPr>
        <w:tab/>
      </w:r>
    </w:p>
    <w:p w14:paraId="1DDC4BA6" w14:textId="77777777" w:rsidR="00F4699A" w:rsidRPr="00936FEA" w:rsidRDefault="00F4699A">
      <w:pPr>
        <w:pStyle w:val="TDC1"/>
        <w:tabs>
          <w:tab w:val="right" w:leader="dot" w:pos="8830"/>
        </w:tabs>
        <w:rPr>
          <w:rFonts w:ascii="Cambria" w:eastAsia="MS Mincho" w:hAnsi="Cambria"/>
          <w:b w:val="0"/>
          <w:bCs w:val="0"/>
          <w:noProof/>
          <w:sz w:val="24"/>
          <w:szCs w:val="24"/>
          <w:lang w:val="es-ES_tradnl" w:eastAsia="ja-JP"/>
        </w:rPr>
      </w:pPr>
      <w:r>
        <w:rPr>
          <w:noProof/>
        </w:rPr>
        <w:t>3. REGLAS APLICABLES AL RÉGIMEN DE LAS RESERVAS</w:t>
      </w:r>
    </w:p>
    <w:p w14:paraId="274EEF54" w14:textId="77777777" w:rsidR="00F4699A" w:rsidRPr="00936FEA" w:rsidRDefault="00F4699A">
      <w:pPr>
        <w:pStyle w:val="TDC2"/>
        <w:rPr>
          <w:rFonts w:ascii="Cambria" w:eastAsia="MS Mincho" w:hAnsi="Cambria"/>
          <w:iCs w:val="0"/>
          <w:noProof/>
          <w:sz w:val="24"/>
          <w:szCs w:val="24"/>
          <w:lang w:val="es-ES_tradnl" w:eastAsia="ja-JP"/>
        </w:rPr>
      </w:pPr>
      <w:r>
        <w:rPr>
          <w:noProof/>
        </w:rPr>
        <w:t>3.1. Remisión de cálculos de la reserva matemática</w:t>
      </w:r>
    </w:p>
    <w:p w14:paraId="1A40430F" w14:textId="77777777" w:rsidR="00F4699A" w:rsidRPr="00A60BB1" w:rsidRDefault="00F4699A">
      <w:pPr>
        <w:pStyle w:val="TDC2"/>
        <w:rPr>
          <w:noProof/>
        </w:rPr>
      </w:pPr>
      <w:r>
        <w:rPr>
          <w:noProof/>
        </w:rPr>
        <w:t>3.2. Improcedencia de constitución de reservas técnicas</w:t>
      </w:r>
    </w:p>
    <w:p w14:paraId="2E594C40" w14:textId="77777777" w:rsidR="00F4699A" w:rsidRPr="00A60BB1" w:rsidRDefault="00F4699A">
      <w:pPr>
        <w:pStyle w:val="TDC2"/>
        <w:rPr>
          <w:noProof/>
        </w:rPr>
      </w:pPr>
      <w:r>
        <w:rPr>
          <w:noProof/>
        </w:rPr>
        <w:t xml:space="preserve">3.3. Reglas sobre calificación mínima y cuantificación del riesgo crediticio de las inversiones que respalden reservas </w:t>
      </w:r>
      <w:r w:rsidRPr="00A60BB1">
        <w:rPr>
          <w:noProof/>
        </w:rPr>
        <w:t>técnicas</w:t>
      </w:r>
      <w:r w:rsidR="008F1973" w:rsidRPr="00A60BB1">
        <w:rPr>
          <w:noProof/>
        </w:rPr>
        <w:t>.</w:t>
      </w:r>
    </w:p>
    <w:p w14:paraId="32CEF6C3" w14:textId="77777777" w:rsidR="008F1973" w:rsidRPr="00A60BB1" w:rsidRDefault="008F1973" w:rsidP="00A60BB1">
      <w:pPr>
        <w:pStyle w:val="TDC2"/>
        <w:pBdr>
          <w:left w:val="single" w:sz="4" w:space="4" w:color="auto"/>
        </w:pBdr>
        <w:rPr>
          <w:b/>
          <w:bCs/>
          <w:noProof/>
        </w:rPr>
      </w:pPr>
      <w:r w:rsidRPr="00A60BB1">
        <w:rPr>
          <w:b/>
          <w:bCs/>
          <w:noProof/>
        </w:rPr>
        <w:t xml:space="preserve">3.4. </w:t>
      </w:r>
      <w:r w:rsidR="00A60BB1" w:rsidRPr="00A60BB1">
        <w:rPr>
          <w:b/>
          <w:bCs/>
          <w:noProof/>
        </w:rPr>
        <w:t xml:space="preserve">Proceso de inversión y gestión de las inversiones </w:t>
      </w:r>
    </w:p>
    <w:p w14:paraId="48DD6391" w14:textId="77777777" w:rsidR="00A60BB1" w:rsidRPr="00A60BB1" w:rsidRDefault="00A60BB1" w:rsidP="00A60BB1">
      <w:pPr>
        <w:pStyle w:val="TDC2"/>
        <w:pBdr>
          <w:left w:val="single" w:sz="4" w:space="4" w:color="auto"/>
        </w:pBdr>
        <w:rPr>
          <w:b/>
          <w:bCs/>
          <w:noProof/>
        </w:rPr>
      </w:pPr>
      <w:r w:rsidRPr="00A60BB1">
        <w:rPr>
          <w:b/>
          <w:bCs/>
          <w:noProof/>
        </w:rPr>
        <w:t>3.5. Control de límites de inversión</w:t>
      </w:r>
      <w:r w:rsidR="00AC54DE">
        <w:rPr>
          <w:b/>
          <w:bCs/>
          <w:noProof/>
        </w:rPr>
        <w:t xml:space="preserve">  </w:t>
      </w:r>
    </w:p>
    <w:p w14:paraId="70418B83" w14:textId="77777777" w:rsidR="00F4699A" w:rsidRPr="00936FEA" w:rsidRDefault="00F4699A">
      <w:pPr>
        <w:pStyle w:val="TDC1"/>
        <w:tabs>
          <w:tab w:val="right" w:leader="dot" w:pos="8830"/>
        </w:tabs>
        <w:rPr>
          <w:rFonts w:ascii="Cambria" w:eastAsia="MS Mincho" w:hAnsi="Cambria"/>
          <w:b w:val="0"/>
          <w:bCs w:val="0"/>
          <w:noProof/>
          <w:sz w:val="24"/>
          <w:szCs w:val="24"/>
          <w:lang w:val="es-ES_tradnl" w:eastAsia="ja-JP"/>
        </w:rPr>
      </w:pPr>
      <w:r>
        <w:rPr>
          <w:noProof/>
        </w:rPr>
        <w:t>4. NOTIFICACIÓN DE ENTREGA DE LOS RECURSOS</w:t>
      </w:r>
    </w:p>
    <w:p w14:paraId="1D9218A1" w14:textId="77777777" w:rsidR="00E62366" w:rsidRDefault="00E62366">
      <w:r w:rsidRPr="00E62366">
        <w:rPr>
          <w:rFonts w:ascii="Calibri" w:hAnsi="Calibri"/>
          <w:sz w:val="20"/>
        </w:rPr>
        <w:fldChar w:fldCharType="end"/>
      </w:r>
    </w:p>
    <w:p w14:paraId="08C78BAB" w14:textId="77777777" w:rsidR="00E62366" w:rsidRDefault="00E62366" w:rsidP="00E62366">
      <w:pPr>
        <w:rPr>
          <w:b/>
          <w:sz w:val="16"/>
          <w:szCs w:val="16"/>
        </w:rPr>
      </w:pPr>
    </w:p>
    <w:p w14:paraId="6A45D4EB" w14:textId="77777777" w:rsidR="00E62366" w:rsidRDefault="00E62366" w:rsidP="005974F4">
      <w:pPr>
        <w:jc w:val="center"/>
        <w:rPr>
          <w:b/>
          <w:sz w:val="16"/>
          <w:szCs w:val="16"/>
        </w:rPr>
      </w:pPr>
    </w:p>
    <w:p w14:paraId="1406253F" w14:textId="77777777" w:rsidR="00E62366" w:rsidRDefault="00E62366" w:rsidP="005974F4">
      <w:pPr>
        <w:jc w:val="center"/>
        <w:rPr>
          <w:b/>
          <w:sz w:val="16"/>
          <w:szCs w:val="16"/>
        </w:rPr>
      </w:pPr>
    </w:p>
    <w:p w14:paraId="4ACFAE9D" w14:textId="77777777" w:rsidR="00E62366" w:rsidRDefault="00E62366" w:rsidP="005974F4">
      <w:pPr>
        <w:jc w:val="center"/>
        <w:rPr>
          <w:b/>
          <w:sz w:val="16"/>
          <w:szCs w:val="16"/>
        </w:rPr>
      </w:pPr>
    </w:p>
    <w:p w14:paraId="1C6A96E0" w14:textId="77777777" w:rsidR="00E62366" w:rsidRDefault="00E62366" w:rsidP="005974F4">
      <w:pPr>
        <w:jc w:val="center"/>
        <w:rPr>
          <w:b/>
          <w:sz w:val="16"/>
          <w:szCs w:val="16"/>
        </w:rPr>
      </w:pPr>
    </w:p>
    <w:p w14:paraId="402AE10C" w14:textId="77777777" w:rsidR="00E62366" w:rsidRDefault="00E62366" w:rsidP="005974F4">
      <w:pPr>
        <w:jc w:val="center"/>
        <w:rPr>
          <w:b/>
          <w:sz w:val="16"/>
          <w:szCs w:val="16"/>
        </w:rPr>
      </w:pPr>
    </w:p>
    <w:p w14:paraId="480862C0" w14:textId="77777777" w:rsidR="00E62366" w:rsidRDefault="00E62366" w:rsidP="005974F4">
      <w:pPr>
        <w:jc w:val="center"/>
        <w:rPr>
          <w:b/>
          <w:sz w:val="16"/>
          <w:szCs w:val="16"/>
        </w:rPr>
      </w:pPr>
    </w:p>
    <w:p w14:paraId="04C12DFB" w14:textId="77777777" w:rsidR="00E62366" w:rsidRDefault="00E62366" w:rsidP="005974F4">
      <w:pPr>
        <w:jc w:val="center"/>
        <w:rPr>
          <w:b/>
          <w:sz w:val="16"/>
          <w:szCs w:val="16"/>
        </w:rPr>
      </w:pPr>
    </w:p>
    <w:p w14:paraId="020D9B94" w14:textId="77777777" w:rsidR="00E62366" w:rsidRDefault="00E62366" w:rsidP="005974F4">
      <w:pPr>
        <w:jc w:val="center"/>
        <w:rPr>
          <w:b/>
          <w:sz w:val="16"/>
          <w:szCs w:val="16"/>
        </w:rPr>
      </w:pPr>
    </w:p>
    <w:p w14:paraId="5F162261" w14:textId="77777777" w:rsidR="00E62366" w:rsidRDefault="00E62366" w:rsidP="005974F4">
      <w:pPr>
        <w:jc w:val="center"/>
        <w:rPr>
          <w:b/>
          <w:sz w:val="16"/>
          <w:szCs w:val="16"/>
        </w:rPr>
      </w:pPr>
    </w:p>
    <w:p w14:paraId="6F31C41F" w14:textId="77777777" w:rsidR="00E62366" w:rsidRDefault="00E62366" w:rsidP="005974F4">
      <w:pPr>
        <w:jc w:val="center"/>
        <w:rPr>
          <w:b/>
          <w:sz w:val="16"/>
          <w:szCs w:val="16"/>
        </w:rPr>
      </w:pPr>
    </w:p>
    <w:p w14:paraId="633DC4C8" w14:textId="77777777" w:rsidR="00E62366" w:rsidRDefault="00E62366" w:rsidP="005974F4">
      <w:pPr>
        <w:jc w:val="center"/>
        <w:rPr>
          <w:b/>
          <w:sz w:val="16"/>
          <w:szCs w:val="16"/>
        </w:rPr>
      </w:pPr>
    </w:p>
    <w:p w14:paraId="53B31FAC" w14:textId="77777777" w:rsidR="00E62366" w:rsidRDefault="00E62366" w:rsidP="005974F4">
      <w:pPr>
        <w:jc w:val="center"/>
        <w:rPr>
          <w:b/>
          <w:sz w:val="16"/>
          <w:szCs w:val="16"/>
        </w:rPr>
      </w:pPr>
    </w:p>
    <w:p w14:paraId="19D2DC5C" w14:textId="77777777" w:rsidR="00E62366" w:rsidRDefault="00E62366" w:rsidP="005974F4">
      <w:pPr>
        <w:jc w:val="center"/>
        <w:rPr>
          <w:b/>
          <w:sz w:val="16"/>
          <w:szCs w:val="16"/>
        </w:rPr>
      </w:pPr>
    </w:p>
    <w:p w14:paraId="495C64DA" w14:textId="77777777" w:rsidR="00E62366" w:rsidRDefault="00E62366" w:rsidP="005974F4">
      <w:pPr>
        <w:jc w:val="center"/>
        <w:rPr>
          <w:b/>
          <w:sz w:val="16"/>
          <w:szCs w:val="16"/>
        </w:rPr>
      </w:pPr>
    </w:p>
    <w:p w14:paraId="7895D835" w14:textId="77777777" w:rsidR="00E62366" w:rsidRDefault="00E62366" w:rsidP="005974F4">
      <w:pPr>
        <w:jc w:val="center"/>
        <w:rPr>
          <w:b/>
          <w:sz w:val="16"/>
          <w:szCs w:val="16"/>
        </w:rPr>
      </w:pPr>
    </w:p>
    <w:p w14:paraId="2794615E" w14:textId="77777777" w:rsidR="00E62366" w:rsidRDefault="00E62366" w:rsidP="005974F4">
      <w:pPr>
        <w:jc w:val="center"/>
        <w:rPr>
          <w:b/>
          <w:sz w:val="16"/>
          <w:szCs w:val="16"/>
        </w:rPr>
      </w:pPr>
    </w:p>
    <w:p w14:paraId="02680D39" w14:textId="77777777" w:rsidR="00E62366" w:rsidRDefault="00E62366" w:rsidP="005974F4">
      <w:pPr>
        <w:jc w:val="center"/>
        <w:rPr>
          <w:b/>
          <w:sz w:val="16"/>
          <w:szCs w:val="16"/>
        </w:rPr>
      </w:pPr>
    </w:p>
    <w:p w14:paraId="6CCFEE6A" w14:textId="77777777" w:rsidR="00E62366" w:rsidRDefault="00E62366" w:rsidP="005974F4">
      <w:pPr>
        <w:jc w:val="center"/>
        <w:rPr>
          <w:b/>
          <w:sz w:val="16"/>
          <w:szCs w:val="16"/>
        </w:rPr>
      </w:pPr>
    </w:p>
    <w:p w14:paraId="7FFA46E0" w14:textId="77777777" w:rsidR="00E62366" w:rsidRDefault="00E62366" w:rsidP="005974F4">
      <w:pPr>
        <w:jc w:val="center"/>
        <w:rPr>
          <w:b/>
          <w:sz w:val="16"/>
          <w:szCs w:val="16"/>
        </w:rPr>
      </w:pPr>
    </w:p>
    <w:p w14:paraId="3F7E0592" w14:textId="77777777" w:rsidR="00E62366" w:rsidRDefault="00E62366" w:rsidP="005974F4">
      <w:pPr>
        <w:jc w:val="center"/>
        <w:rPr>
          <w:b/>
          <w:sz w:val="16"/>
          <w:szCs w:val="16"/>
        </w:rPr>
      </w:pPr>
    </w:p>
    <w:p w14:paraId="60A8982A" w14:textId="77777777" w:rsidR="00E62366" w:rsidRDefault="00E62366" w:rsidP="005974F4">
      <w:pPr>
        <w:jc w:val="center"/>
        <w:rPr>
          <w:b/>
          <w:sz w:val="16"/>
          <w:szCs w:val="16"/>
        </w:rPr>
      </w:pPr>
    </w:p>
    <w:p w14:paraId="3EE27333" w14:textId="77777777" w:rsidR="00E62366" w:rsidRDefault="00E62366" w:rsidP="005974F4">
      <w:pPr>
        <w:jc w:val="center"/>
        <w:rPr>
          <w:b/>
          <w:sz w:val="16"/>
          <w:szCs w:val="16"/>
        </w:rPr>
      </w:pPr>
    </w:p>
    <w:p w14:paraId="106A539B" w14:textId="77777777" w:rsidR="00E62366" w:rsidRDefault="00E62366" w:rsidP="005974F4">
      <w:pPr>
        <w:jc w:val="center"/>
        <w:rPr>
          <w:b/>
          <w:sz w:val="16"/>
          <w:szCs w:val="16"/>
        </w:rPr>
      </w:pPr>
    </w:p>
    <w:p w14:paraId="5A16203F" w14:textId="77777777" w:rsidR="00E62366" w:rsidRDefault="00E62366" w:rsidP="005974F4">
      <w:pPr>
        <w:jc w:val="center"/>
        <w:rPr>
          <w:b/>
          <w:sz w:val="16"/>
          <w:szCs w:val="16"/>
        </w:rPr>
      </w:pPr>
    </w:p>
    <w:p w14:paraId="1DE000E8" w14:textId="77777777" w:rsidR="00E62366" w:rsidRDefault="00E62366" w:rsidP="005974F4">
      <w:pPr>
        <w:jc w:val="center"/>
        <w:rPr>
          <w:b/>
          <w:sz w:val="16"/>
          <w:szCs w:val="16"/>
        </w:rPr>
      </w:pPr>
    </w:p>
    <w:p w14:paraId="358F8CF6" w14:textId="77777777" w:rsidR="00E62366" w:rsidRDefault="00E62366" w:rsidP="005974F4">
      <w:pPr>
        <w:jc w:val="center"/>
        <w:rPr>
          <w:b/>
          <w:sz w:val="16"/>
          <w:szCs w:val="16"/>
        </w:rPr>
      </w:pPr>
    </w:p>
    <w:p w14:paraId="5F1F9A8C" w14:textId="77777777" w:rsidR="00E62366" w:rsidRDefault="00E62366" w:rsidP="005974F4">
      <w:pPr>
        <w:jc w:val="center"/>
        <w:rPr>
          <w:b/>
          <w:sz w:val="16"/>
          <w:szCs w:val="16"/>
        </w:rPr>
      </w:pPr>
    </w:p>
    <w:p w14:paraId="5A78DD40" w14:textId="77777777" w:rsidR="00E62366" w:rsidRDefault="00E62366" w:rsidP="005974F4">
      <w:pPr>
        <w:jc w:val="center"/>
        <w:rPr>
          <w:b/>
          <w:sz w:val="16"/>
          <w:szCs w:val="16"/>
        </w:rPr>
      </w:pPr>
    </w:p>
    <w:p w14:paraId="69CCCBC5" w14:textId="77777777" w:rsidR="00E62366" w:rsidRDefault="00E62366" w:rsidP="005974F4">
      <w:pPr>
        <w:jc w:val="center"/>
        <w:rPr>
          <w:b/>
          <w:sz w:val="16"/>
          <w:szCs w:val="16"/>
        </w:rPr>
      </w:pPr>
    </w:p>
    <w:p w14:paraId="70B23781" w14:textId="77777777" w:rsidR="00E62366" w:rsidRDefault="00E62366" w:rsidP="005974F4">
      <w:pPr>
        <w:jc w:val="center"/>
        <w:rPr>
          <w:b/>
          <w:sz w:val="16"/>
          <w:szCs w:val="16"/>
        </w:rPr>
      </w:pPr>
    </w:p>
    <w:p w14:paraId="00084222" w14:textId="77777777" w:rsidR="00E62366" w:rsidRDefault="00E62366" w:rsidP="005974F4">
      <w:pPr>
        <w:jc w:val="center"/>
        <w:rPr>
          <w:b/>
          <w:sz w:val="16"/>
          <w:szCs w:val="16"/>
        </w:rPr>
      </w:pPr>
    </w:p>
    <w:p w14:paraId="57DDC5FA" w14:textId="77777777" w:rsidR="00E62366" w:rsidRDefault="00E62366" w:rsidP="005974F4">
      <w:pPr>
        <w:jc w:val="center"/>
        <w:rPr>
          <w:b/>
          <w:sz w:val="16"/>
          <w:szCs w:val="16"/>
        </w:rPr>
      </w:pPr>
    </w:p>
    <w:p w14:paraId="7200E76D" w14:textId="77777777" w:rsidR="00E62366" w:rsidRDefault="00E62366" w:rsidP="005974F4">
      <w:pPr>
        <w:jc w:val="center"/>
        <w:rPr>
          <w:b/>
          <w:sz w:val="16"/>
          <w:szCs w:val="16"/>
        </w:rPr>
      </w:pPr>
    </w:p>
    <w:p w14:paraId="27BB45BF" w14:textId="77777777" w:rsidR="00E62366" w:rsidRDefault="00E62366" w:rsidP="005974F4">
      <w:pPr>
        <w:jc w:val="center"/>
        <w:rPr>
          <w:b/>
          <w:sz w:val="16"/>
          <w:szCs w:val="16"/>
        </w:rPr>
      </w:pPr>
    </w:p>
    <w:p w14:paraId="566F81AF" w14:textId="77777777" w:rsidR="00E62366" w:rsidRDefault="00E62366" w:rsidP="005974F4">
      <w:pPr>
        <w:jc w:val="center"/>
        <w:rPr>
          <w:b/>
          <w:sz w:val="16"/>
          <w:szCs w:val="16"/>
        </w:rPr>
      </w:pPr>
    </w:p>
    <w:p w14:paraId="0ECEF37D" w14:textId="77777777" w:rsidR="00E62366" w:rsidRDefault="00E62366" w:rsidP="005974F4">
      <w:pPr>
        <w:jc w:val="center"/>
        <w:rPr>
          <w:b/>
          <w:sz w:val="16"/>
          <w:szCs w:val="16"/>
        </w:rPr>
      </w:pPr>
    </w:p>
    <w:p w14:paraId="345FBEE1" w14:textId="77777777" w:rsidR="00E62366" w:rsidRDefault="00E62366" w:rsidP="005974F4">
      <w:pPr>
        <w:jc w:val="center"/>
        <w:rPr>
          <w:b/>
          <w:sz w:val="16"/>
          <w:szCs w:val="16"/>
        </w:rPr>
      </w:pPr>
    </w:p>
    <w:p w14:paraId="582A879E" w14:textId="77777777" w:rsidR="00E62366" w:rsidRDefault="00E62366" w:rsidP="005974F4">
      <w:pPr>
        <w:jc w:val="center"/>
        <w:rPr>
          <w:b/>
          <w:sz w:val="16"/>
          <w:szCs w:val="16"/>
        </w:rPr>
      </w:pPr>
    </w:p>
    <w:p w14:paraId="72A195FB" w14:textId="77777777" w:rsidR="00E62366" w:rsidRDefault="00E62366" w:rsidP="005974F4">
      <w:pPr>
        <w:jc w:val="center"/>
        <w:rPr>
          <w:b/>
          <w:sz w:val="16"/>
          <w:szCs w:val="16"/>
        </w:rPr>
      </w:pPr>
    </w:p>
    <w:p w14:paraId="3C03B95E" w14:textId="77777777" w:rsidR="00E62366" w:rsidRDefault="00E62366" w:rsidP="005974F4">
      <w:pPr>
        <w:jc w:val="center"/>
        <w:rPr>
          <w:b/>
          <w:sz w:val="16"/>
          <w:szCs w:val="16"/>
        </w:rPr>
      </w:pPr>
    </w:p>
    <w:p w14:paraId="75EB164C" w14:textId="77777777" w:rsidR="00E62366" w:rsidRDefault="00E62366" w:rsidP="005974F4">
      <w:pPr>
        <w:jc w:val="center"/>
        <w:rPr>
          <w:b/>
          <w:sz w:val="16"/>
          <w:szCs w:val="16"/>
        </w:rPr>
      </w:pPr>
    </w:p>
    <w:p w14:paraId="56C368EE" w14:textId="77777777" w:rsidR="00E62366" w:rsidRDefault="00E62366" w:rsidP="005974F4">
      <w:pPr>
        <w:jc w:val="center"/>
        <w:rPr>
          <w:b/>
          <w:sz w:val="16"/>
          <w:szCs w:val="16"/>
        </w:rPr>
      </w:pPr>
    </w:p>
    <w:p w14:paraId="219D4E1A" w14:textId="77777777" w:rsidR="00E62366" w:rsidRDefault="00E62366" w:rsidP="005974F4">
      <w:pPr>
        <w:jc w:val="center"/>
        <w:rPr>
          <w:b/>
          <w:sz w:val="16"/>
          <w:szCs w:val="16"/>
        </w:rPr>
      </w:pPr>
    </w:p>
    <w:p w14:paraId="2AC9F48B" w14:textId="77777777" w:rsidR="00E62366" w:rsidRDefault="00E62366" w:rsidP="005974F4">
      <w:pPr>
        <w:jc w:val="center"/>
        <w:rPr>
          <w:b/>
          <w:sz w:val="16"/>
          <w:szCs w:val="16"/>
        </w:rPr>
      </w:pPr>
    </w:p>
    <w:p w14:paraId="20B73BB6" w14:textId="77777777" w:rsidR="00E62366" w:rsidRDefault="00E62366" w:rsidP="005974F4">
      <w:pPr>
        <w:jc w:val="center"/>
        <w:rPr>
          <w:b/>
          <w:sz w:val="16"/>
          <w:szCs w:val="16"/>
        </w:rPr>
      </w:pPr>
    </w:p>
    <w:p w14:paraId="307A65F9" w14:textId="77777777" w:rsidR="00E62366" w:rsidRDefault="00E62366" w:rsidP="005974F4">
      <w:pPr>
        <w:jc w:val="center"/>
        <w:rPr>
          <w:b/>
          <w:sz w:val="16"/>
          <w:szCs w:val="16"/>
        </w:rPr>
      </w:pPr>
    </w:p>
    <w:p w14:paraId="62A6C56A" w14:textId="77777777" w:rsidR="00E62366" w:rsidRDefault="00E62366" w:rsidP="005974F4">
      <w:pPr>
        <w:jc w:val="center"/>
        <w:rPr>
          <w:b/>
          <w:sz w:val="16"/>
          <w:szCs w:val="16"/>
        </w:rPr>
      </w:pPr>
    </w:p>
    <w:p w14:paraId="32F06A0C" w14:textId="77777777" w:rsidR="003174D4" w:rsidRDefault="003174D4" w:rsidP="005974F4">
      <w:pPr>
        <w:jc w:val="center"/>
        <w:rPr>
          <w:b/>
          <w:sz w:val="16"/>
          <w:szCs w:val="16"/>
        </w:rPr>
        <w:sectPr w:rsidR="003174D4" w:rsidSect="003174D4">
          <w:headerReference w:type="default" r:id="rId11"/>
          <w:footerReference w:type="default" r:id="rId12"/>
          <w:pgSz w:w="12240" w:h="18720" w:code="14"/>
          <w:pgMar w:top="1418" w:right="1701" w:bottom="1418" w:left="1701" w:header="1134" w:footer="1134" w:gutter="0"/>
          <w:cols w:space="708"/>
          <w:docGrid w:linePitch="360"/>
        </w:sectPr>
      </w:pPr>
    </w:p>
    <w:p w14:paraId="6C76D5F7" w14:textId="77777777" w:rsidR="0025389A" w:rsidRPr="003D1446" w:rsidRDefault="0025389A" w:rsidP="0025389A">
      <w:pPr>
        <w:ind w:right="51"/>
        <w:jc w:val="both"/>
        <w:rPr>
          <w:sz w:val="16"/>
          <w:szCs w:val="16"/>
        </w:rPr>
      </w:pPr>
      <w:r w:rsidRPr="5CAAF259">
        <w:rPr>
          <w:sz w:val="16"/>
          <w:szCs w:val="16"/>
        </w:rPr>
        <w:lastRenderedPageBreak/>
        <w:t>Las sociedades de capitalización deben mantener dichas actas en orden consecutivo a disposición de la SFC para su verificación.</w:t>
      </w:r>
    </w:p>
    <w:p w14:paraId="25FB5E31" w14:textId="77777777" w:rsidR="0025389A" w:rsidRPr="003D1446" w:rsidRDefault="0025389A" w:rsidP="0025389A">
      <w:pPr>
        <w:ind w:right="51"/>
        <w:jc w:val="both"/>
        <w:rPr>
          <w:sz w:val="16"/>
          <w:szCs w:val="16"/>
        </w:rPr>
      </w:pPr>
    </w:p>
    <w:p w14:paraId="37594236" w14:textId="77777777" w:rsidR="0025389A" w:rsidRPr="00502DE4" w:rsidRDefault="0025389A" w:rsidP="0025389A">
      <w:pPr>
        <w:pStyle w:val="Ttulo2"/>
        <w:spacing w:before="0" w:after="0"/>
      </w:pPr>
      <w:bookmarkStart w:id="0" w:name="_Toc263881108"/>
      <w:r w:rsidRPr="00502DE4">
        <w:t>2.5.</w:t>
      </w:r>
      <w:r>
        <w:t xml:space="preserve"> </w:t>
      </w:r>
      <w:r w:rsidRPr="00502DE4">
        <w:t>Conservación de títulos e información</w:t>
      </w:r>
      <w:bookmarkEnd w:id="0"/>
    </w:p>
    <w:p w14:paraId="764DE53C" w14:textId="77777777" w:rsidR="0025389A" w:rsidRPr="003D1446" w:rsidRDefault="0025389A" w:rsidP="0025389A">
      <w:pPr>
        <w:ind w:right="51"/>
        <w:jc w:val="both"/>
        <w:rPr>
          <w:sz w:val="16"/>
          <w:szCs w:val="16"/>
        </w:rPr>
      </w:pPr>
    </w:p>
    <w:p w14:paraId="256023E9" w14:textId="77777777" w:rsidR="0025389A" w:rsidRPr="003D1446" w:rsidRDefault="0025389A" w:rsidP="0025389A">
      <w:pPr>
        <w:ind w:right="51"/>
        <w:jc w:val="both"/>
        <w:rPr>
          <w:sz w:val="16"/>
          <w:szCs w:val="16"/>
        </w:rPr>
      </w:pPr>
      <w:r w:rsidRPr="003D1446">
        <w:rPr>
          <w:sz w:val="16"/>
          <w:szCs w:val="16"/>
        </w:rPr>
        <w:t xml:space="preserve">A fin de que la SFC en cualquier momento pueda verificar el cumplimiento de los requisitos señalados en el EOSF y en el presente </w:t>
      </w:r>
      <w:r>
        <w:rPr>
          <w:sz w:val="16"/>
          <w:szCs w:val="16"/>
        </w:rPr>
        <w:t>C</w:t>
      </w:r>
      <w:r w:rsidRPr="003D1446">
        <w:rPr>
          <w:sz w:val="16"/>
          <w:szCs w:val="16"/>
        </w:rPr>
        <w:t>apítulo, las sociedades de capitalización deben mantener a disposición de esta entidad, de manera ordenada y centralizada, los modelos de los títulos de capitalización que se encuentren ofreciendo al público, así como los elementos que sirvan de sustento para dar cumplimiento a las reglas de divulgación de información al consumidor financiero. En iguales condiciones se deben mantener a disposición de la SFC respecto de cada título, la información de las cuotas pagadas, la tasa de interés aplicada, los intereses devengados, los gastos, los costos de sorteo, la reserva matemática y los valores de rescate. Esta información debe registrarse y mantenerse mes a mes desde el inicio del plan.</w:t>
      </w:r>
    </w:p>
    <w:p w14:paraId="744E77E2" w14:textId="77777777" w:rsidR="0025389A" w:rsidRDefault="0025389A" w:rsidP="0025389A">
      <w:pPr>
        <w:ind w:right="51"/>
        <w:jc w:val="both"/>
        <w:rPr>
          <w:sz w:val="16"/>
          <w:szCs w:val="16"/>
        </w:rPr>
      </w:pPr>
    </w:p>
    <w:p w14:paraId="015A1BEE" w14:textId="77777777" w:rsidR="0025389A" w:rsidRPr="003D1446" w:rsidRDefault="0025389A" w:rsidP="0025389A">
      <w:pPr>
        <w:ind w:right="51"/>
        <w:jc w:val="both"/>
        <w:rPr>
          <w:sz w:val="16"/>
          <w:szCs w:val="16"/>
        </w:rPr>
      </w:pPr>
    </w:p>
    <w:p w14:paraId="78EE32A1" w14:textId="77777777" w:rsidR="0025389A" w:rsidRPr="003D1446" w:rsidRDefault="0025389A" w:rsidP="0025389A">
      <w:pPr>
        <w:pStyle w:val="Ttulo1"/>
        <w:spacing w:before="0" w:after="0"/>
      </w:pPr>
      <w:bookmarkStart w:id="1" w:name="_Toc263881109"/>
      <w:r w:rsidRPr="003D1446">
        <w:t>3.</w:t>
      </w:r>
      <w:r>
        <w:t xml:space="preserve"> </w:t>
      </w:r>
      <w:r w:rsidRPr="003D1446">
        <w:t>REGLAS</w:t>
      </w:r>
      <w:r>
        <w:t xml:space="preserve"> APLICABLES AL RÉ</w:t>
      </w:r>
      <w:r w:rsidRPr="003D1446">
        <w:t>GIMEN DE LAS RESERVAS</w:t>
      </w:r>
      <w:bookmarkEnd w:id="1"/>
    </w:p>
    <w:p w14:paraId="65193B08" w14:textId="77777777" w:rsidR="0025389A" w:rsidRPr="003D1446" w:rsidRDefault="0025389A" w:rsidP="0025389A">
      <w:pPr>
        <w:ind w:right="51"/>
        <w:jc w:val="both"/>
        <w:rPr>
          <w:sz w:val="16"/>
          <w:szCs w:val="16"/>
        </w:rPr>
      </w:pPr>
    </w:p>
    <w:p w14:paraId="13FA808B" w14:textId="77777777" w:rsidR="0025389A" w:rsidRPr="003D1446" w:rsidRDefault="0025389A" w:rsidP="0025389A">
      <w:pPr>
        <w:pStyle w:val="Ttulo2"/>
        <w:spacing w:before="0" w:after="0"/>
      </w:pPr>
      <w:bookmarkStart w:id="2" w:name="_Toc263881110"/>
      <w:r w:rsidRPr="003D1446">
        <w:t>3.1.</w:t>
      </w:r>
      <w:r>
        <w:t xml:space="preserve"> </w:t>
      </w:r>
      <w:r w:rsidRPr="003D1446">
        <w:t>Remisión de cálculos de la reserva matemática</w:t>
      </w:r>
      <w:bookmarkEnd w:id="2"/>
      <w:r w:rsidRPr="003D1446">
        <w:t xml:space="preserve"> </w:t>
      </w:r>
    </w:p>
    <w:p w14:paraId="0C2217C9" w14:textId="77777777" w:rsidR="0025389A" w:rsidRPr="003D1446" w:rsidRDefault="0025389A" w:rsidP="0025389A">
      <w:pPr>
        <w:ind w:right="51"/>
        <w:jc w:val="both"/>
        <w:rPr>
          <w:sz w:val="16"/>
          <w:szCs w:val="16"/>
        </w:rPr>
      </w:pPr>
    </w:p>
    <w:p w14:paraId="12F731D8" w14:textId="77777777" w:rsidR="0025389A" w:rsidRPr="003D1446" w:rsidRDefault="0025389A" w:rsidP="00FD7041">
      <w:pPr>
        <w:ind w:right="51"/>
        <w:jc w:val="both"/>
        <w:rPr>
          <w:sz w:val="16"/>
          <w:szCs w:val="16"/>
        </w:rPr>
      </w:pPr>
      <w:r w:rsidRPr="003D1446">
        <w:rPr>
          <w:sz w:val="16"/>
          <w:szCs w:val="16"/>
        </w:rPr>
        <w:t>Los cálculos de la reserva matemática deben remitirse a la S</w:t>
      </w:r>
      <w:r>
        <w:rPr>
          <w:sz w:val="16"/>
          <w:szCs w:val="16"/>
        </w:rPr>
        <w:t>F</w:t>
      </w:r>
      <w:r w:rsidRPr="003D1446">
        <w:rPr>
          <w:sz w:val="16"/>
          <w:szCs w:val="16"/>
        </w:rPr>
        <w:t>C en la misma oportunidad prevista para el envío de estados financieros en un resumen explicativo certificado por el representante legal</w:t>
      </w:r>
      <w:r>
        <w:rPr>
          <w:sz w:val="16"/>
          <w:szCs w:val="16"/>
        </w:rPr>
        <w:t xml:space="preserve"> </w:t>
      </w:r>
      <w:r w:rsidRPr="003D1446">
        <w:rPr>
          <w:sz w:val="16"/>
          <w:szCs w:val="16"/>
        </w:rPr>
        <w:t>y un actuario. Tratándose de estados financieros de fin de ejercicio, la información debe reportarse en medios magnéticos, con el detalle completo de los títulos expedidos.</w:t>
      </w:r>
    </w:p>
    <w:p w14:paraId="303FEB4F" w14:textId="77777777" w:rsidR="0025389A" w:rsidRPr="003D1446" w:rsidRDefault="0025389A" w:rsidP="0025389A">
      <w:pPr>
        <w:ind w:right="51"/>
        <w:jc w:val="both"/>
        <w:rPr>
          <w:sz w:val="16"/>
          <w:szCs w:val="16"/>
        </w:rPr>
      </w:pPr>
      <w:r w:rsidRPr="003D1446">
        <w:rPr>
          <w:sz w:val="16"/>
          <w:szCs w:val="16"/>
        </w:rPr>
        <w:t xml:space="preserve"> </w:t>
      </w:r>
    </w:p>
    <w:p w14:paraId="1F330640" w14:textId="77777777" w:rsidR="0025389A" w:rsidRPr="003D1446" w:rsidRDefault="0025389A" w:rsidP="0025389A">
      <w:pPr>
        <w:pStyle w:val="Ttulo2"/>
        <w:spacing w:before="0" w:after="0"/>
      </w:pPr>
      <w:bookmarkStart w:id="3" w:name="_Toc263881111"/>
      <w:r w:rsidRPr="003D1446">
        <w:t>3.2.</w:t>
      </w:r>
      <w:r>
        <w:t xml:space="preserve"> </w:t>
      </w:r>
      <w:r w:rsidRPr="003D1446">
        <w:t>Improcedencia de constitución de reservas técnicas</w:t>
      </w:r>
      <w:bookmarkEnd w:id="3"/>
      <w:r w:rsidRPr="003D1446">
        <w:tab/>
      </w:r>
    </w:p>
    <w:p w14:paraId="038382D8" w14:textId="77777777" w:rsidR="0025389A" w:rsidRPr="003D1446" w:rsidRDefault="0025389A" w:rsidP="0025389A">
      <w:pPr>
        <w:ind w:right="51"/>
        <w:jc w:val="both"/>
        <w:rPr>
          <w:sz w:val="16"/>
          <w:szCs w:val="16"/>
          <w:lang w:val="es-ES_tradnl"/>
        </w:rPr>
      </w:pPr>
    </w:p>
    <w:p w14:paraId="673F57C8" w14:textId="77777777" w:rsidR="0025389A" w:rsidRPr="003D1446" w:rsidRDefault="0025389A" w:rsidP="0025389A">
      <w:pPr>
        <w:pStyle w:val="Textoindependiente3"/>
        <w:rPr>
          <w:sz w:val="16"/>
          <w:szCs w:val="16"/>
        </w:rPr>
      </w:pPr>
      <w:r w:rsidRPr="003D1446">
        <w:rPr>
          <w:sz w:val="16"/>
          <w:szCs w:val="16"/>
        </w:rPr>
        <w:t>Respecto de los títulos vencidos no prescritos no resulta procedente la constitución de reserva técnica, en consideración a que en dicho evento al suscriptor le asiste solamente el derecho a percibir el valor de rescate, previa deducción de las sumas que graven el título, toda vez que éste no es susceptible de rehabilitación mediante el pago de las cuotas no satisfechas en su oportunidad.</w:t>
      </w:r>
    </w:p>
    <w:p w14:paraId="04178028" w14:textId="77777777" w:rsidR="0025389A" w:rsidRPr="003D1446" w:rsidRDefault="0025389A" w:rsidP="0025389A">
      <w:pPr>
        <w:ind w:right="51"/>
        <w:jc w:val="both"/>
        <w:rPr>
          <w:sz w:val="16"/>
          <w:szCs w:val="16"/>
        </w:rPr>
      </w:pPr>
    </w:p>
    <w:p w14:paraId="149C329C" w14:textId="77777777" w:rsidR="0025389A" w:rsidRPr="003D1446" w:rsidRDefault="0025389A" w:rsidP="0025389A">
      <w:pPr>
        <w:ind w:right="51"/>
        <w:jc w:val="both"/>
        <w:rPr>
          <w:sz w:val="16"/>
          <w:szCs w:val="16"/>
        </w:rPr>
      </w:pPr>
      <w:r w:rsidRPr="003D1446">
        <w:rPr>
          <w:sz w:val="16"/>
          <w:szCs w:val="16"/>
        </w:rPr>
        <w:t xml:space="preserve">El valor de rescate por vencimiento y rescisión del contrato es un pasivo fijo e invariable de inmediata exigibilidad por el suscriptor. </w:t>
      </w:r>
    </w:p>
    <w:p w14:paraId="474E475D" w14:textId="77777777" w:rsidR="0025389A" w:rsidRPr="003D1446" w:rsidRDefault="0025389A" w:rsidP="0025389A">
      <w:pPr>
        <w:ind w:right="51"/>
        <w:jc w:val="both"/>
        <w:rPr>
          <w:sz w:val="16"/>
          <w:szCs w:val="16"/>
        </w:rPr>
      </w:pPr>
    </w:p>
    <w:p w14:paraId="21149992" w14:textId="77777777" w:rsidR="0025389A" w:rsidRPr="003D1446" w:rsidRDefault="0025389A" w:rsidP="0025389A">
      <w:pPr>
        <w:ind w:right="51"/>
        <w:jc w:val="both"/>
        <w:rPr>
          <w:sz w:val="16"/>
          <w:szCs w:val="16"/>
        </w:rPr>
      </w:pPr>
      <w:r w:rsidRPr="003D1446">
        <w:rPr>
          <w:sz w:val="16"/>
          <w:szCs w:val="16"/>
        </w:rPr>
        <w:t>Por razón de lo expuesto, la partida formada por el valor de rescate de los títulos vencidos no prescritos, por tratarse de un pasivo exigible a cargo de las sociedades de capitalización y a favor de cada uno de los suscriptores no pertenece a la reserva técnica.</w:t>
      </w:r>
    </w:p>
    <w:p w14:paraId="2E544743" w14:textId="77777777" w:rsidR="0025389A" w:rsidRPr="003D1446" w:rsidRDefault="0025389A" w:rsidP="0025389A">
      <w:pPr>
        <w:ind w:right="51"/>
        <w:jc w:val="both"/>
        <w:rPr>
          <w:sz w:val="16"/>
          <w:szCs w:val="16"/>
        </w:rPr>
      </w:pPr>
    </w:p>
    <w:p w14:paraId="723EAB48" w14:textId="77777777" w:rsidR="0025389A" w:rsidRPr="00502DE4" w:rsidRDefault="0025389A" w:rsidP="0025389A">
      <w:pPr>
        <w:pStyle w:val="Ttulo2"/>
        <w:spacing w:before="0" w:after="0"/>
        <w:jc w:val="both"/>
      </w:pPr>
      <w:bookmarkStart w:id="4" w:name="_Toc263881112"/>
      <w:r w:rsidRPr="00502DE4">
        <w:t>3.3. Reglas sobre calificación mínima y cuantificación del riesgo crediticio de las inversiones que respalden reservas técnicas</w:t>
      </w:r>
      <w:bookmarkEnd w:id="4"/>
      <w:r w:rsidRPr="00502DE4">
        <w:t xml:space="preserve"> </w:t>
      </w:r>
    </w:p>
    <w:p w14:paraId="693DD01B" w14:textId="77777777" w:rsidR="0025389A" w:rsidRPr="00502DE4" w:rsidRDefault="0025389A" w:rsidP="0025389A">
      <w:pPr>
        <w:ind w:right="51"/>
        <w:jc w:val="both"/>
        <w:rPr>
          <w:sz w:val="16"/>
          <w:szCs w:val="16"/>
        </w:rPr>
      </w:pPr>
    </w:p>
    <w:p w14:paraId="03658BD5" w14:textId="77777777" w:rsidR="0025389A" w:rsidRPr="003D1446" w:rsidRDefault="0025389A" w:rsidP="0025389A">
      <w:pPr>
        <w:pStyle w:val="Textoindependiente"/>
        <w:rPr>
          <w:rFonts w:cs="Arial"/>
          <w:i w:val="0"/>
          <w:spacing w:val="0"/>
          <w:sz w:val="16"/>
          <w:szCs w:val="16"/>
        </w:rPr>
      </w:pPr>
      <w:r>
        <w:rPr>
          <w:rFonts w:cs="Arial"/>
          <w:i w:val="0"/>
          <w:spacing w:val="0"/>
          <w:sz w:val="16"/>
          <w:szCs w:val="16"/>
        </w:rPr>
        <w:t>Las inversiones de las reservas técnicas de las sociedades de capitalización están sujetas a los requisitos de calificación establecidos en el art. 2.31.3.1.3 del Decreto 2555 de 2010.</w:t>
      </w:r>
    </w:p>
    <w:p w14:paraId="69B20CB2" w14:textId="77777777" w:rsidR="0025389A" w:rsidRDefault="0025389A" w:rsidP="0025389A">
      <w:pPr>
        <w:ind w:right="51"/>
        <w:jc w:val="both"/>
        <w:rPr>
          <w:b/>
          <w:sz w:val="16"/>
          <w:szCs w:val="16"/>
        </w:rPr>
      </w:pPr>
    </w:p>
    <w:p w14:paraId="6E9DE9D8" w14:textId="77777777" w:rsidR="008F1973" w:rsidRDefault="008F1973" w:rsidP="008F1973">
      <w:pPr>
        <w:pStyle w:val="Prrafodelista"/>
        <w:pBdr>
          <w:left w:val="single" w:sz="4" w:space="4" w:color="auto"/>
        </w:pBdr>
        <w:ind w:left="0"/>
        <w:jc w:val="both"/>
        <w:rPr>
          <w:rFonts w:cs="Arial"/>
          <w:b/>
          <w:sz w:val="16"/>
          <w:szCs w:val="16"/>
        </w:rPr>
      </w:pPr>
      <w:r>
        <w:rPr>
          <w:rFonts w:cs="Arial"/>
          <w:b/>
          <w:sz w:val="16"/>
          <w:szCs w:val="16"/>
        </w:rPr>
        <w:t>3.4. Proceso de inversión y gestión de las inversiones que respaldan las reservas técnicas</w:t>
      </w:r>
    </w:p>
    <w:p w14:paraId="3B20F3DD" w14:textId="77777777" w:rsidR="008F1973" w:rsidRDefault="008F1973" w:rsidP="008F1973">
      <w:pPr>
        <w:pStyle w:val="Prrafodelista"/>
        <w:pBdr>
          <w:left w:val="single" w:sz="4" w:space="4" w:color="auto"/>
        </w:pBdr>
        <w:ind w:left="0"/>
        <w:jc w:val="both"/>
        <w:rPr>
          <w:rFonts w:cs="Arial"/>
          <w:b/>
          <w:sz w:val="16"/>
          <w:szCs w:val="16"/>
        </w:rPr>
      </w:pPr>
    </w:p>
    <w:p w14:paraId="7A382A71" w14:textId="520BE8BE" w:rsidR="00AC54DE" w:rsidRPr="00CD49C1" w:rsidRDefault="00AC54DE" w:rsidP="00AC54DE">
      <w:pPr>
        <w:pStyle w:val="Prrafodelista"/>
        <w:pBdr>
          <w:left w:val="single" w:sz="4" w:space="4" w:color="auto"/>
        </w:pBdr>
        <w:ind w:left="0"/>
        <w:jc w:val="both"/>
        <w:rPr>
          <w:rFonts w:cs="Arial"/>
          <w:b/>
          <w:sz w:val="16"/>
          <w:szCs w:val="16"/>
        </w:rPr>
      </w:pPr>
      <w:r w:rsidRPr="009A6FA3">
        <w:rPr>
          <w:rFonts w:cs="Arial"/>
          <w:b/>
          <w:sz w:val="16"/>
          <w:szCs w:val="16"/>
          <w:lang w:val="es-CO"/>
        </w:rPr>
        <w:t xml:space="preserve">Corresponde a la junta directiva de las </w:t>
      </w:r>
      <w:r w:rsidR="00CD49C1" w:rsidRPr="009A6FA3">
        <w:rPr>
          <w:rFonts w:cs="Arial"/>
          <w:b/>
          <w:sz w:val="16"/>
          <w:szCs w:val="16"/>
          <w:lang w:val="es-CO"/>
        </w:rPr>
        <w:t>sociedades de</w:t>
      </w:r>
      <w:r w:rsidR="00F24D2F">
        <w:rPr>
          <w:rFonts w:cs="Arial"/>
          <w:b/>
          <w:sz w:val="16"/>
          <w:szCs w:val="16"/>
          <w:lang w:val="es-CO"/>
        </w:rPr>
        <w:t xml:space="preserve"> </w:t>
      </w:r>
      <w:r w:rsidR="00F24D2F" w:rsidRPr="00F24D2F">
        <w:rPr>
          <w:rFonts w:cs="Arial"/>
          <w:b/>
          <w:sz w:val="16"/>
          <w:szCs w:val="16"/>
          <w:lang w:val="es-CO"/>
        </w:rPr>
        <w:t>capitalización</w:t>
      </w:r>
      <w:r w:rsidR="00CD49C1" w:rsidRPr="009A6FA3">
        <w:rPr>
          <w:rFonts w:cs="Arial"/>
          <w:b/>
          <w:sz w:val="16"/>
          <w:szCs w:val="16"/>
          <w:lang w:val="es-CO"/>
        </w:rPr>
        <w:t xml:space="preserve"> </w:t>
      </w:r>
      <w:r w:rsidR="009A6FA3" w:rsidRPr="009A6FA3">
        <w:rPr>
          <w:rFonts w:eastAsia="Times" w:cs="Arial"/>
          <w:b/>
          <w:sz w:val="16"/>
          <w:szCs w:val="16"/>
        </w:rPr>
        <w:t>adoptar</w:t>
      </w:r>
      <w:r w:rsidR="000046EF">
        <w:rPr>
          <w:rFonts w:eastAsia="Times" w:cs="Arial"/>
          <w:b/>
          <w:sz w:val="16"/>
          <w:szCs w:val="16"/>
        </w:rPr>
        <w:t xml:space="preserve"> y hacer seguimiento</w:t>
      </w:r>
      <w:r w:rsidR="009A6FA3" w:rsidRPr="009A6FA3">
        <w:rPr>
          <w:rFonts w:eastAsia="Times" w:cs="Arial"/>
          <w:b/>
          <w:sz w:val="16"/>
          <w:szCs w:val="16"/>
        </w:rPr>
        <w:t xml:space="preserve"> la política de inversión y aprobar la asignación estratégica de los activos que respaldan las reservas técnicas y demás activos de la entidad, de conformidad</w:t>
      </w:r>
      <w:r w:rsidR="009A6FA3" w:rsidRPr="00FBCB9C">
        <w:rPr>
          <w:rFonts w:eastAsia="Times" w:cs="Arial"/>
          <w:sz w:val="16"/>
          <w:szCs w:val="16"/>
        </w:rPr>
        <w:t xml:space="preserve"> </w:t>
      </w:r>
      <w:r w:rsidRPr="00AC54DE">
        <w:rPr>
          <w:rFonts w:cs="Arial"/>
          <w:b/>
          <w:sz w:val="16"/>
          <w:szCs w:val="16"/>
          <w:lang w:val="es-CO"/>
        </w:rPr>
        <w:t xml:space="preserve">con lo establecido en la normatividad vigente. Para tal fin, a </w:t>
      </w:r>
      <w:proofErr w:type="gramStart"/>
      <w:r w:rsidRPr="00AC54DE">
        <w:rPr>
          <w:rFonts w:cs="Arial"/>
          <w:b/>
          <w:sz w:val="16"/>
          <w:szCs w:val="16"/>
          <w:lang w:val="es-CO"/>
        </w:rPr>
        <w:t>continuación</w:t>
      </w:r>
      <w:proofErr w:type="gramEnd"/>
      <w:r w:rsidRPr="00AC54DE">
        <w:rPr>
          <w:rFonts w:cs="Arial"/>
          <w:b/>
          <w:sz w:val="16"/>
          <w:szCs w:val="16"/>
          <w:lang w:val="es-CO"/>
        </w:rPr>
        <w:t xml:space="preserve"> se establece el contenido mínimo de las políticas de inversión</w:t>
      </w:r>
      <w:r w:rsidR="00CD49C1">
        <w:rPr>
          <w:rFonts w:cs="Arial"/>
          <w:b/>
          <w:sz w:val="16"/>
          <w:szCs w:val="16"/>
          <w:lang w:val="es-CO"/>
        </w:rPr>
        <w:t xml:space="preserve">, </w:t>
      </w:r>
      <w:r w:rsidR="009A6FA3">
        <w:rPr>
          <w:rFonts w:cs="Arial"/>
          <w:b/>
          <w:sz w:val="16"/>
          <w:szCs w:val="16"/>
          <w:lang w:val="es-CO"/>
        </w:rPr>
        <w:t xml:space="preserve">y </w:t>
      </w:r>
      <w:r w:rsidRPr="00AC54DE">
        <w:rPr>
          <w:rFonts w:cs="Arial"/>
          <w:b/>
          <w:sz w:val="16"/>
          <w:szCs w:val="16"/>
          <w:lang w:val="es-CO"/>
        </w:rPr>
        <w:t xml:space="preserve">las responsabilidades de la junta directiva, el comité de riesgos y la auditoría interna en relación con </w:t>
      </w:r>
      <w:r w:rsidR="00CD49C1">
        <w:rPr>
          <w:rFonts w:cs="Arial"/>
          <w:b/>
          <w:sz w:val="16"/>
          <w:szCs w:val="16"/>
          <w:lang w:val="es-CO"/>
        </w:rPr>
        <w:t xml:space="preserve">dicha </w:t>
      </w:r>
      <w:r w:rsidRPr="00AC54DE">
        <w:rPr>
          <w:rFonts w:cs="Arial"/>
          <w:b/>
          <w:sz w:val="16"/>
          <w:szCs w:val="16"/>
          <w:lang w:val="es-CO"/>
        </w:rPr>
        <w:t>política</w:t>
      </w:r>
      <w:r w:rsidR="00CD49C1">
        <w:rPr>
          <w:rFonts w:cs="Arial"/>
          <w:b/>
          <w:sz w:val="16"/>
          <w:szCs w:val="16"/>
          <w:lang w:val="es-CO"/>
        </w:rPr>
        <w:t xml:space="preserve"> </w:t>
      </w:r>
      <w:r w:rsidRPr="00AC54DE">
        <w:rPr>
          <w:rFonts w:cs="Arial"/>
          <w:b/>
          <w:sz w:val="16"/>
          <w:szCs w:val="16"/>
          <w:lang w:val="es-CO"/>
        </w:rPr>
        <w:t xml:space="preserve">y sus deberes de documentación y reporte. </w:t>
      </w:r>
    </w:p>
    <w:p w14:paraId="57C123FD"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78E9354" w14:textId="77777777" w:rsidR="00AC54DE" w:rsidRPr="00AC54DE" w:rsidRDefault="00CD49C1" w:rsidP="00AC54DE">
      <w:pPr>
        <w:pStyle w:val="Prrafodelista"/>
        <w:pBdr>
          <w:left w:val="single" w:sz="4" w:space="4" w:color="auto"/>
        </w:pBdr>
        <w:ind w:left="0"/>
        <w:jc w:val="both"/>
        <w:rPr>
          <w:rFonts w:cs="Arial"/>
          <w:b/>
          <w:sz w:val="16"/>
          <w:szCs w:val="16"/>
          <w:lang w:val="es-CO"/>
        </w:rPr>
      </w:pPr>
      <w:r>
        <w:rPr>
          <w:rFonts w:cs="Arial"/>
          <w:b/>
          <w:sz w:val="16"/>
          <w:szCs w:val="16"/>
          <w:lang w:val="es-CO"/>
        </w:rPr>
        <w:t>3.4.1</w:t>
      </w:r>
      <w:r w:rsidR="00AC54DE" w:rsidRPr="00AC54DE">
        <w:rPr>
          <w:rFonts w:cs="Arial"/>
          <w:b/>
          <w:sz w:val="16"/>
          <w:szCs w:val="16"/>
          <w:lang w:val="es-CO"/>
        </w:rPr>
        <w:t>. Políticas de inversión</w:t>
      </w:r>
    </w:p>
    <w:p w14:paraId="23B6BF01"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34CA59C3" w14:textId="15BCF5DF" w:rsidR="00AC54DE" w:rsidRPr="00AC54DE" w:rsidRDefault="00AC54DE" w:rsidP="00AC54DE">
      <w:pPr>
        <w:pStyle w:val="Prrafodelista"/>
        <w:pBdr>
          <w:left w:val="single" w:sz="4" w:space="4" w:color="auto"/>
        </w:pBdr>
        <w:ind w:left="0"/>
        <w:jc w:val="both"/>
        <w:rPr>
          <w:rFonts w:cs="Arial"/>
          <w:b/>
          <w:sz w:val="16"/>
          <w:szCs w:val="16"/>
          <w:lang w:val="es-CO"/>
        </w:rPr>
      </w:pPr>
      <w:r w:rsidRPr="008007C0">
        <w:rPr>
          <w:rFonts w:cs="Arial"/>
          <w:b/>
          <w:sz w:val="16"/>
          <w:szCs w:val="16"/>
          <w:lang w:val="es-CO"/>
        </w:rPr>
        <w:t>La política de inversión de que trata</w:t>
      </w:r>
      <w:r w:rsidR="009071CD">
        <w:rPr>
          <w:rFonts w:cs="Arial"/>
          <w:b/>
          <w:sz w:val="16"/>
          <w:szCs w:val="16"/>
          <w:lang w:val="es-CO"/>
        </w:rPr>
        <w:t>n</w:t>
      </w:r>
      <w:r w:rsidRPr="008007C0">
        <w:rPr>
          <w:rFonts w:cs="Arial"/>
          <w:b/>
          <w:sz w:val="16"/>
          <w:szCs w:val="16"/>
          <w:lang w:val="es-CO"/>
        </w:rPr>
        <w:t xml:space="preserve"> los artículos 2.31.3.1.4, 2.31.3.1.5, 2.31.3.1.10, 2.31.3.1.11, 2.31.3.1.22 y 2.31.3.1.23</w:t>
      </w:r>
      <w:r w:rsidRPr="00AC54DE">
        <w:rPr>
          <w:rFonts w:cs="Arial"/>
          <w:b/>
          <w:sz w:val="16"/>
          <w:szCs w:val="16"/>
          <w:lang w:val="es-CO"/>
        </w:rPr>
        <w:t xml:space="preserve"> del Decreto 2555 de 2010</w:t>
      </w:r>
      <w:r w:rsidR="009071CD">
        <w:rPr>
          <w:rFonts w:cs="Arial"/>
          <w:b/>
          <w:sz w:val="16"/>
          <w:szCs w:val="16"/>
          <w:lang w:val="es-CO"/>
        </w:rPr>
        <w:t xml:space="preserve"> </w:t>
      </w:r>
      <w:bookmarkStart w:id="5" w:name="_Hlk67495721"/>
      <w:r w:rsidR="009071CD">
        <w:rPr>
          <w:rFonts w:cs="Arial"/>
          <w:b/>
          <w:sz w:val="16"/>
          <w:szCs w:val="16"/>
          <w:lang w:val="es-CO"/>
        </w:rPr>
        <w:t>u otras disposiciones</w:t>
      </w:r>
      <w:bookmarkEnd w:id="5"/>
      <w:r w:rsidRPr="00AC54DE">
        <w:rPr>
          <w:rFonts w:cs="Arial"/>
          <w:b/>
          <w:sz w:val="16"/>
          <w:szCs w:val="16"/>
          <w:lang w:val="es-CO"/>
        </w:rPr>
        <w:t>, debe contener como mínimo, la siguiente información:</w:t>
      </w:r>
    </w:p>
    <w:p w14:paraId="51E263DB"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751DB67A" w14:textId="319FA6EF" w:rsidR="00AC54DE" w:rsidRPr="00AC54DE" w:rsidRDefault="00B16075" w:rsidP="00AC54DE">
      <w:pPr>
        <w:pStyle w:val="Prrafodelista"/>
        <w:pBdr>
          <w:left w:val="single" w:sz="4" w:space="4" w:color="auto"/>
        </w:pBdr>
        <w:ind w:left="0"/>
        <w:jc w:val="both"/>
        <w:rPr>
          <w:rFonts w:cs="Arial"/>
          <w:b/>
          <w:sz w:val="16"/>
          <w:szCs w:val="16"/>
          <w:lang w:val="es-CO"/>
        </w:rPr>
      </w:pPr>
      <w:r>
        <w:rPr>
          <w:rFonts w:cs="Arial"/>
          <w:b/>
          <w:sz w:val="16"/>
          <w:szCs w:val="16"/>
          <w:lang w:val="es-CO"/>
        </w:rPr>
        <w:t>3.4.</w:t>
      </w:r>
      <w:r w:rsidR="00AC54DE" w:rsidRPr="00AC54DE">
        <w:rPr>
          <w:rFonts w:cs="Arial"/>
          <w:b/>
          <w:sz w:val="16"/>
          <w:szCs w:val="16"/>
          <w:lang w:val="es-CO"/>
        </w:rPr>
        <w:t>1.1. Objetivos de la política de inversión, los cuales deben</w:t>
      </w:r>
      <w:r w:rsidR="002F6C3C">
        <w:rPr>
          <w:rFonts w:cs="Arial"/>
          <w:b/>
          <w:sz w:val="16"/>
          <w:szCs w:val="16"/>
          <w:lang w:val="es-CO"/>
        </w:rPr>
        <w:t xml:space="preserve"> atender</w:t>
      </w:r>
      <w:r w:rsidR="00F24D2F">
        <w:rPr>
          <w:rFonts w:cs="Arial"/>
          <w:b/>
          <w:sz w:val="16"/>
          <w:szCs w:val="16"/>
          <w:lang w:val="es-CO"/>
        </w:rPr>
        <w:t xml:space="preserve"> como mínimo</w:t>
      </w:r>
      <w:r w:rsidR="00AC54DE" w:rsidRPr="00AC54DE">
        <w:rPr>
          <w:rFonts w:cs="Arial"/>
          <w:b/>
          <w:sz w:val="16"/>
          <w:szCs w:val="16"/>
          <w:lang w:val="es-CO"/>
        </w:rPr>
        <w:t xml:space="preserve"> a</w:t>
      </w:r>
      <w:r w:rsidR="00857B1D">
        <w:rPr>
          <w:rFonts w:cs="Arial"/>
          <w:b/>
          <w:sz w:val="16"/>
          <w:szCs w:val="16"/>
          <w:lang w:val="es-CO"/>
        </w:rPr>
        <w:t>:</w:t>
      </w:r>
      <w:r w:rsidR="00AC54DE" w:rsidRPr="00AC54DE">
        <w:rPr>
          <w:rFonts w:cs="Arial"/>
          <w:b/>
          <w:sz w:val="16"/>
          <w:szCs w:val="16"/>
          <w:lang w:val="es-CO"/>
        </w:rPr>
        <w:t xml:space="preserve"> (i) la naturaleza, duración y moneda subyacentes a las obligaciones por</w:t>
      </w:r>
      <w:r w:rsidR="001F5E08">
        <w:rPr>
          <w:rFonts w:cs="Arial"/>
          <w:b/>
          <w:sz w:val="16"/>
          <w:szCs w:val="16"/>
          <w:lang w:val="es-CO"/>
        </w:rPr>
        <w:t xml:space="preserve"> títulos de capitalización</w:t>
      </w:r>
      <w:r w:rsidR="00AC54DE" w:rsidRPr="00AC54DE">
        <w:rPr>
          <w:rFonts w:cs="Arial"/>
          <w:b/>
          <w:sz w:val="16"/>
          <w:szCs w:val="16"/>
          <w:lang w:val="es-CO"/>
        </w:rPr>
        <w:t xml:space="preserve">, (ii) el calce adecuado de plazo y tasas entre los activos y pasivos, y (iii) las necesidades de liquidez conforme al modelo de negocio y portafolio de </w:t>
      </w:r>
      <w:r w:rsidR="006B7033">
        <w:rPr>
          <w:rFonts w:cs="Arial"/>
          <w:b/>
          <w:sz w:val="16"/>
          <w:szCs w:val="16"/>
          <w:lang w:val="es-CO"/>
        </w:rPr>
        <w:t>títulos de capitalización</w:t>
      </w:r>
      <w:r w:rsidR="00AC54DE" w:rsidRPr="00AC54DE">
        <w:rPr>
          <w:rFonts w:cs="Arial"/>
          <w:b/>
          <w:sz w:val="16"/>
          <w:szCs w:val="16"/>
          <w:lang w:val="es-CO"/>
        </w:rPr>
        <w:t>.</w:t>
      </w:r>
    </w:p>
    <w:p w14:paraId="0FEE5212"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44CF37CF" w14:textId="7F2E0D73" w:rsidR="00AC54DE" w:rsidRPr="00AC54DE" w:rsidRDefault="26B15622" w:rsidP="00AC54DE">
      <w:pPr>
        <w:pStyle w:val="Prrafodelista"/>
        <w:pBdr>
          <w:left w:val="single" w:sz="4" w:space="4" w:color="auto"/>
        </w:pBdr>
        <w:ind w:left="0"/>
        <w:jc w:val="both"/>
        <w:rPr>
          <w:rFonts w:cs="Arial"/>
          <w:b/>
          <w:sz w:val="16"/>
          <w:szCs w:val="16"/>
          <w:lang w:val="es-CO"/>
        </w:rPr>
      </w:pPr>
      <w:r w:rsidRPr="48C163FB">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2. Estructura organizacional para la gestión de inversiones y administración de sus riesgos</w:t>
      </w:r>
      <w:r w:rsidR="00897396">
        <w:rPr>
          <w:rFonts w:cs="Arial"/>
          <w:b/>
          <w:sz w:val="16"/>
          <w:szCs w:val="16"/>
          <w:lang w:val="es-CO"/>
        </w:rPr>
        <w:t xml:space="preserve">, </w:t>
      </w:r>
      <w:r w:rsidR="00897396" w:rsidRPr="00897396">
        <w:rPr>
          <w:rFonts w:cs="Arial"/>
          <w:b/>
          <w:sz w:val="16"/>
          <w:szCs w:val="16"/>
          <w:lang w:val="es-CO"/>
        </w:rPr>
        <w:t>incluyendo las áreas que participan con sus principales funciones, facultades, responsabilidades, entre otras.</w:t>
      </w:r>
    </w:p>
    <w:p w14:paraId="5C9CCDAC"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48B186FA" w14:textId="7D5B2DD4" w:rsidR="00AC54DE" w:rsidRPr="00EE59C5"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10B15BD5" w:rsidRPr="48C163FB">
        <w:rPr>
          <w:rFonts w:cs="Arial"/>
          <w:b/>
          <w:bCs/>
          <w:sz w:val="16"/>
          <w:szCs w:val="16"/>
          <w:lang w:val="es-CO"/>
        </w:rPr>
        <w:t>4</w:t>
      </w:r>
      <w:r w:rsidRPr="48C163FB">
        <w:rPr>
          <w:rFonts w:cs="Arial"/>
          <w:b/>
          <w:bCs/>
          <w:sz w:val="16"/>
          <w:szCs w:val="16"/>
          <w:lang w:val="es-CO"/>
        </w:rPr>
        <w:t>.</w:t>
      </w:r>
      <w:r w:rsidR="00F24D2F">
        <w:rPr>
          <w:rFonts w:cs="Arial"/>
          <w:b/>
          <w:bCs/>
          <w:sz w:val="16"/>
          <w:szCs w:val="16"/>
          <w:lang w:val="es-CO"/>
        </w:rPr>
        <w:t>1.</w:t>
      </w:r>
      <w:r w:rsidRPr="48C163FB">
        <w:rPr>
          <w:rFonts w:cs="Arial"/>
          <w:b/>
          <w:bCs/>
          <w:sz w:val="16"/>
          <w:szCs w:val="16"/>
          <w:lang w:val="es-CO"/>
        </w:rPr>
        <w:t>3.</w:t>
      </w:r>
      <w:r w:rsidRPr="00AC54DE">
        <w:rPr>
          <w:rFonts w:cs="Arial"/>
          <w:b/>
          <w:sz w:val="16"/>
          <w:szCs w:val="16"/>
          <w:lang w:val="es-CO"/>
        </w:rPr>
        <w:t xml:space="preserve"> Criterios generales para la selección de los activos susceptibles de inversión y los límites de inversión separando por tipos de activos, plazos, monedas y emisores, y la forma en que dichos activos e instrumentos de inversión contribuyen al logro de los objetivos de la política de inversión.</w:t>
      </w:r>
    </w:p>
    <w:p w14:paraId="4B83E548" w14:textId="77777777" w:rsidR="00897396" w:rsidRPr="00AC54DE" w:rsidRDefault="00897396" w:rsidP="00AC54DE">
      <w:pPr>
        <w:pStyle w:val="Prrafodelista"/>
        <w:pBdr>
          <w:left w:val="single" w:sz="4" w:space="4" w:color="auto"/>
        </w:pBdr>
        <w:ind w:left="0"/>
        <w:jc w:val="both"/>
        <w:rPr>
          <w:rFonts w:cs="Arial"/>
          <w:b/>
          <w:sz w:val="16"/>
          <w:szCs w:val="16"/>
          <w:lang w:val="es-CO"/>
        </w:rPr>
      </w:pPr>
    </w:p>
    <w:p w14:paraId="5D9408B3" w14:textId="6C9A5C5D" w:rsidR="00AC54DE" w:rsidRPr="00AC54DE" w:rsidRDefault="5231FC72" w:rsidP="00AC54DE">
      <w:pPr>
        <w:pStyle w:val="Prrafodelista"/>
        <w:pBdr>
          <w:left w:val="single" w:sz="4" w:space="4" w:color="auto"/>
        </w:pBdr>
        <w:ind w:left="0"/>
        <w:jc w:val="both"/>
        <w:rPr>
          <w:rFonts w:cs="Arial"/>
          <w:b/>
          <w:sz w:val="16"/>
          <w:szCs w:val="16"/>
          <w:lang w:val="es-CO"/>
        </w:rPr>
      </w:pPr>
      <w:r w:rsidRPr="4B22980C">
        <w:rPr>
          <w:rFonts w:cs="Arial"/>
          <w:b/>
          <w:bCs/>
          <w:sz w:val="16"/>
          <w:szCs w:val="16"/>
          <w:lang w:val="es-CO"/>
        </w:rPr>
        <w:t>3.</w:t>
      </w:r>
      <w:r w:rsidRPr="502C87CE">
        <w:rPr>
          <w:rFonts w:cs="Arial"/>
          <w:b/>
          <w:bCs/>
          <w:sz w:val="16"/>
          <w:szCs w:val="16"/>
          <w:lang w:val="es-CO"/>
        </w:rPr>
        <w:t>4</w:t>
      </w:r>
      <w:r w:rsidR="00AC54DE" w:rsidRPr="4B22980C">
        <w:rPr>
          <w:rFonts w:cs="Arial"/>
          <w:b/>
          <w:bCs/>
          <w:sz w:val="16"/>
          <w:szCs w:val="16"/>
          <w:lang w:val="es-CO"/>
        </w:rPr>
        <w:t>.</w:t>
      </w:r>
      <w:r w:rsidR="00F24D2F">
        <w:rPr>
          <w:rFonts w:cs="Arial"/>
          <w:b/>
          <w:bCs/>
          <w:sz w:val="16"/>
          <w:szCs w:val="16"/>
          <w:lang w:val="es-CO"/>
        </w:rPr>
        <w:t>1.</w:t>
      </w:r>
      <w:r w:rsidR="00AC54DE" w:rsidRPr="4B22980C">
        <w:rPr>
          <w:rFonts w:cs="Arial"/>
          <w:b/>
          <w:bCs/>
          <w:sz w:val="16"/>
          <w:szCs w:val="16"/>
          <w:lang w:val="es-CO"/>
        </w:rPr>
        <w:t>3.</w:t>
      </w:r>
      <w:r w:rsidR="00AC54DE" w:rsidRPr="00AC54DE">
        <w:rPr>
          <w:rFonts w:cs="Arial"/>
          <w:b/>
          <w:sz w:val="16"/>
          <w:szCs w:val="16"/>
          <w:lang w:val="es-CO"/>
        </w:rPr>
        <w:t>1</w:t>
      </w:r>
      <w:r w:rsidR="00AC54DE" w:rsidRPr="007B0E98">
        <w:rPr>
          <w:rFonts w:cs="Arial"/>
          <w:b/>
          <w:bCs/>
          <w:sz w:val="16"/>
          <w:szCs w:val="16"/>
          <w:lang w:val="es-CO"/>
        </w:rPr>
        <w:t>.</w:t>
      </w:r>
      <w:r w:rsidR="00AC54DE" w:rsidRPr="00AC54DE">
        <w:rPr>
          <w:rFonts w:cs="Arial"/>
          <w:b/>
          <w:sz w:val="16"/>
          <w:szCs w:val="16"/>
          <w:lang w:val="es-CO"/>
        </w:rPr>
        <w:t xml:space="preserve"> Condiciones que deben cumplir los títulos y/o valores y los emisores</w:t>
      </w:r>
      <w:r w:rsidR="00897396">
        <w:rPr>
          <w:rFonts w:cs="Arial"/>
          <w:b/>
          <w:sz w:val="16"/>
          <w:szCs w:val="16"/>
          <w:lang w:val="es-CO"/>
        </w:rPr>
        <w:t xml:space="preserve">, </w:t>
      </w:r>
      <w:r w:rsidR="00AC54DE" w:rsidRPr="00AC54DE">
        <w:rPr>
          <w:rFonts w:cs="Arial"/>
          <w:b/>
          <w:sz w:val="16"/>
          <w:szCs w:val="16"/>
          <w:lang w:val="es-CO"/>
        </w:rPr>
        <w:t>nacionales y del exterior, tales como: calificación de riesgo crediticio, estándares de gobierno corporativo, área geográfica, sector económico y condiciones de los activos subyacentes de los fondos de inversión colectiv</w:t>
      </w:r>
      <w:r w:rsidR="00DA63E1">
        <w:rPr>
          <w:rFonts w:cs="Arial"/>
          <w:b/>
          <w:sz w:val="16"/>
          <w:szCs w:val="16"/>
          <w:lang w:val="es-CO"/>
        </w:rPr>
        <w:t>a</w:t>
      </w:r>
      <w:r w:rsidR="00AC54DE" w:rsidRPr="00AC54DE">
        <w:rPr>
          <w:rFonts w:cs="Arial"/>
          <w:b/>
          <w:sz w:val="16"/>
          <w:szCs w:val="16"/>
          <w:lang w:val="es-CO"/>
        </w:rPr>
        <w:t>, fondos de inversión u otros esquemas de inversión colectiva.</w:t>
      </w:r>
    </w:p>
    <w:p w14:paraId="131E99BD"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7FCB1EB" w14:textId="53266423" w:rsidR="00AC54DE" w:rsidRPr="00AC54DE" w:rsidRDefault="4E7E174D" w:rsidP="00AC54DE">
      <w:pPr>
        <w:pStyle w:val="Prrafodelista"/>
        <w:pBdr>
          <w:left w:val="single" w:sz="4" w:space="4" w:color="auto"/>
        </w:pBdr>
        <w:ind w:left="0"/>
        <w:jc w:val="both"/>
        <w:rPr>
          <w:rFonts w:cs="Arial"/>
          <w:b/>
          <w:sz w:val="16"/>
          <w:szCs w:val="16"/>
          <w:lang w:val="es-CO"/>
        </w:rPr>
      </w:pPr>
      <w:r w:rsidRPr="20E202B0">
        <w:rPr>
          <w:rFonts w:cs="Arial"/>
          <w:b/>
          <w:bCs/>
          <w:sz w:val="16"/>
          <w:szCs w:val="16"/>
          <w:lang w:val="es-CO"/>
        </w:rPr>
        <w:t>3.4.</w:t>
      </w:r>
      <w:r w:rsidR="00F24D2F">
        <w:rPr>
          <w:rFonts w:cs="Arial"/>
          <w:b/>
          <w:bCs/>
          <w:sz w:val="16"/>
          <w:szCs w:val="16"/>
          <w:lang w:val="es-CO"/>
        </w:rPr>
        <w:t>1.</w:t>
      </w:r>
      <w:r w:rsidR="00AC54DE" w:rsidRPr="00AC54DE">
        <w:rPr>
          <w:rFonts w:cs="Arial"/>
          <w:b/>
          <w:sz w:val="16"/>
          <w:szCs w:val="16"/>
          <w:lang w:val="es-CO"/>
        </w:rPr>
        <w:t xml:space="preserve">3.2. Condiciones que deben cumplir los fondos de inversión </w:t>
      </w:r>
      <w:r w:rsidR="00AC54DE" w:rsidRPr="20E202B0">
        <w:rPr>
          <w:rFonts w:cs="Arial"/>
          <w:b/>
          <w:bCs/>
          <w:sz w:val="16"/>
          <w:szCs w:val="16"/>
          <w:lang w:val="es-CO"/>
        </w:rPr>
        <w:t>colectiv</w:t>
      </w:r>
      <w:r w:rsidR="6052133A" w:rsidRPr="20E202B0">
        <w:rPr>
          <w:rFonts w:cs="Arial"/>
          <w:b/>
          <w:bCs/>
          <w:sz w:val="16"/>
          <w:szCs w:val="16"/>
          <w:lang w:val="es-CO"/>
        </w:rPr>
        <w:t>a</w:t>
      </w:r>
      <w:r w:rsidR="00AC54DE" w:rsidRPr="00AC54DE">
        <w:rPr>
          <w:rFonts w:cs="Arial"/>
          <w:b/>
          <w:sz w:val="16"/>
          <w:szCs w:val="16"/>
          <w:lang w:val="es-CO"/>
        </w:rPr>
        <w:t xml:space="preserve">, fondos de inversión u otros esquemas de inversión colectiva incluyendo las relativas a comisiones y </w:t>
      </w:r>
      <w:r w:rsidR="00897396">
        <w:rPr>
          <w:rFonts w:cs="Arial"/>
          <w:b/>
          <w:sz w:val="16"/>
          <w:szCs w:val="16"/>
          <w:lang w:val="es-CO"/>
        </w:rPr>
        <w:t xml:space="preserve">su </w:t>
      </w:r>
      <w:r w:rsidR="00AC54DE" w:rsidRPr="00AC54DE">
        <w:rPr>
          <w:rFonts w:cs="Arial"/>
          <w:b/>
          <w:sz w:val="16"/>
          <w:szCs w:val="16"/>
          <w:lang w:val="es-CO"/>
        </w:rPr>
        <w:t xml:space="preserve">devolución. </w:t>
      </w:r>
    </w:p>
    <w:p w14:paraId="54423812" w14:textId="77777777" w:rsidR="00AC54DE" w:rsidRPr="00BE7AD2" w:rsidRDefault="00AC54DE" w:rsidP="00AC54DE">
      <w:pPr>
        <w:pStyle w:val="Prrafodelista"/>
        <w:pBdr>
          <w:left w:val="single" w:sz="4" w:space="4" w:color="auto"/>
        </w:pBdr>
        <w:ind w:left="0"/>
        <w:jc w:val="both"/>
        <w:rPr>
          <w:rFonts w:cs="Arial"/>
          <w:b/>
          <w:sz w:val="16"/>
          <w:szCs w:val="16"/>
          <w:lang w:val="es-CO"/>
        </w:rPr>
      </w:pPr>
    </w:p>
    <w:p w14:paraId="0B6DF11F" w14:textId="5C855D89" w:rsidR="00AC54DE" w:rsidRPr="00BE7AD2" w:rsidRDefault="00AC54DE" w:rsidP="00AC54DE">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6A784119" w:rsidRPr="00BE7AD2">
        <w:rPr>
          <w:rFonts w:cs="Arial"/>
          <w:b/>
          <w:sz w:val="16"/>
          <w:szCs w:val="16"/>
          <w:lang w:val="es-CO"/>
        </w:rPr>
        <w:t>4.</w:t>
      </w:r>
      <w:r w:rsidR="00F24D2F">
        <w:rPr>
          <w:rFonts w:cs="Arial"/>
          <w:b/>
          <w:sz w:val="16"/>
          <w:szCs w:val="16"/>
          <w:lang w:val="es-CO"/>
        </w:rPr>
        <w:t>1.</w:t>
      </w:r>
      <w:r w:rsidRPr="00BE7AD2">
        <w:rPr>
          <w:rFonts w:cs="Arial"/>
          <w:b/>
          <w:sz w:val="16"/>
          <w:szCs w:val="16"/>
          <w:lang w:val="es-CO"/>
        </w:rPr>
        <w:t xml:space="preserve">3.3. Mercados en los cuales la </w:t>
      </w:r>
      <w:r w:rsidR="00CD49C1" w:rsidRPr="00BE7AD2">
        <w:rPr>
          <w:rFonts w:cs="Arial"/>
          <w:b/>
          <w:sz w:val="16"/>
          <w:szCs w:val="16"/>
          <w:lang w:val="es-CO"/>
        </w:rPr>
        <w:t>sociedad de capitalización</w:t>
      </w:r>
      <w:r w:rsidRPr="00BE7AD2">
        <w:rPr>
          <w:rFonts w:cs="Arial"/>
          <w:b/>
          <w:sz w:val="16"/>
          <w:szCs w:val="16"/>
          <w:lang w:val="es-CO"/>
        </w:rPr>
        <w:t xml:space="preserve"> va a realizar la negociación de inversiones.</w:t>
      </w:r>
    </w:p>
    <w:p w14:paraId="13C7D8EE" w14:textId="77777777" w:rsidR="00AC54DE" w:rsidRPr="00BE7AD2" w:rsidRDefault="00AC54DE" w:rsidP="00AC54DE">
      <w:pPr>
        <w:pStyle w:val="Prrafodelista"/>
        <w:pBdr>
          <w:left w:val="single" w:sz="4" w:space="4" w:color="auto"/>
        </w:pBdr>
        <w:ind w:left="0"/>
        <w:jc w:val="both"/>
        <w:rPr>
          <w:rFonts w:cs="Arial"/>
          <w:b/>
          <w:sz w:val="16"/>
          <w:szCs w:val="16"/>
          <w:lang w:val="es-CO"/>
        </w:rPr>
      </w:pPr>
    </w:p>
    <w:p w14:paraId="675DCDC4" w14:textId="79AD9FBD" w:rsidR="00AC54DE" w:rsidRPr="00BE7AD2" w:rsidRDefault="0BF06427" w:rsidP="00AC54DE">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00AC54DE" w:rsidRPr="00BE7AD2">
        <w:rPr>
          <w:rFonts w:cs="Arial"/>
          <w:b/>
          <w:sz w:val="16"/>
          <w:szCs w:val="16"/>
          <w:lang w:val="es-CO"/>
        </w:rPr>
        <w:t>4.</w:t>
      </w:r>
      <w:r w:rsidR="00F24D2F">
        <w:rPr>
          <w:rFonts w:cs="Arial"/>
          <w:b/>
          <w:sz w:val="16"/>
          <w:szCs w:val="16"/>
          <w:lang w:val="es-CO"/>
        </w:rPr>
        <w:t>1.</w:t>
      </w:r>
      <w:r w:rsidR="00AC54DE" w:rsidRPr="00BE7AD2">
        <w:rPr>
          <w:rFonts w:cs="Arial"/>
          <w:b/>
          <w:sz w:val="16"/>
          <w:szCs w:val="16"/>
          <w:lang w:val="es-CO"/>
        </w:rPr>
        <w:t>4. Tratamiento de los activos considerados como alternativos.</w:t>
      </w:r>
      <w:r w:rsidR="00F24D2F" w:rsidRPr="00F24D2F">
        <w:rPr>
          <w:sz w:val="16"/>
          <w:szCs w:val="16"/>
        </w:rPr>
        <w:t xml:space="preserve"> </w:t>
      </w:r>
      <w:r w:rsidR="00F24D2F" w:rsidRPr="00A70653">
        <w:rPr>
          <w:b/>
          <w:sz w:val="16"/>
          <w:szCs w:val="16"/>
        </w:rPr>
        <w:t xml:space="preserve">En caso </w:t>
      </w:r>
      <w:r w:rsidR="006D0CED">
        <w:rPr>
          <w:b/>
          <w:sz w:val="16"/>
          <w:szCs w:val="16"/>
        </w:rPr>
        <w:t xml:space="preserve">de </w:t>
      </w:r>
      <w:r w:rsidR="00F24D2F" w:rsidRPr="00A70653">
        <w:rPr>
          <w:b/>
          <w:sz w:val="16"/>
          <w:szCs w:val="16"/>
        </w:rPr>
        <w:t>que la junta directiva decida contemplar activos alternativos dentro de su política de inversión,</w:t>
      </w:r>
      <w:r w:rsidR="00897396" w:rsidRPr="00F24D2F">
        <w:rPr>
          <w:rFonts w:cs="Arial"/>
          <w:b/>
          <w:sz w:val="16"/>
          <w:szCs w:val="16"/>
          <w:lang w:val="es-CO"/>
        </w:rPr>
        <w:t xml:space="preserve"> </w:t>
      </w:r>
      <w:r w:rsidR="00F24D2F">
        <w:rPr>
          <w:rFonts w:cs="Arial"/>
          <w:b/>
          <w:sz w:val="16"/>
          <w:szCs w:val="16"/>
          <w:lang w:val="es-CO"/>
        </w:rPr>
        <w:t>é</w:t>
      </w:r>
      <w:r w:rsidR="00F24D2F" w:rsidRPr="00F24D2F">
        <w:rPr>
          <w:rFonts w:cs="Arial"/>
          <w:b/>
          <w:sz w:val="16"/>
          <w:szCs w:val="16"/>
          <w:lang w:val="es-CO"/>
        </w:rPr>
        <w:t xml:space="preserve">sta </w:t>
      </w:r>
      <w:r w:rsidR="00AC54DE" w:rsidRPr="00F24D2F">
        <w:rPr>
          <w:rFonts w:cs="Arial"/>
          <w:b/>
          <w:sz w:val="16"/>
          <w:szCs w:val="16"/>
          <w:lang w:val="es-CO"/>
        </w:rPr>
        <w:t xml:space="preserve">debe incluir un capítulo que señale </w:t>
      </w:r>
      <w:r w:rsidR="00F24D2F" w:rsidRPr="00F24D2F">
        <w:rPr>
          <w:rFonts w:cs="Arial"/>
          <w:b/>
          <w:sz w:val="16"/>
          <w:szCs w:val="16"/>
          <w:lang w:val="es-CO"/>
        </w:rPr>
        <w:t xml:space="preserve">su </w:t>
      </w:r>
      <w:r w:rsidR="00AC54DE" w:rsidRPr="00F24D2F">
        <w:rPr>
          <w:rFonts w:cs="Arial"/>
          <w:b/>
          <w:sz w:val="16"/>
          <w:szCs w:val="16"/>
          <w:lang w:val="es-CO"/>
        </w:rPr>
        <w:t xml:space="preserve">tratamiento </w:t>
      </w:r>
      <w:r w:rsidR="006D0CED">
        <w:rPr>
          <w:rFonts w:cs="Arial"/>
          <w:b/>
          <w:sz w:val="16"/>
          <w:szCs w:val="16"/>
          <w:lang w:val="es-CO"/>
        </w:rPr>
        <w:t xml:space="preserve">y contemple por lo menos </w:t>
      </w:r>
      <w:r w:rsidR="00F24D2F">
        <w:rPr>
          <w:rFonts w:cs="Arial"/>
          <w:b/>
          <w:sz w:val="16"/>
          <w:szCs w:val="16"/>
          <w:lang w:val="es-CO"/>
        </w:rPr>
        <w:t>los</w:t>
      </w:r>
      <w:r w:rsidR="00AC54DE" w:rsidRPr="00BE7AD2">
        <w:rPr>
          <w:rFonts w:cs="Arial"/>
          <w:b/>
          <w:sz w:val="16"/>
          <w:szCs w:val="16"/>
          <w:lang w:val="es-CO"/>
        </w:rPr>
        <w:t xml:space="preserve"> siguientes aspectos:</w:t>
      </w:r>
    </w:p>
    <w:p w14:paraId="14ABCCA5" w14:textId="7CE506A7" w:rsidR="00AC54DE" w:rsidRPr="00BE7AD2" w:rsidRDefault="00AC54DE" w:rsidP="00AC54DE">
      <w:pPr>
        <w:pStyle w:val="Prrafodelista"/>
        <w:pBdr>
          <w:left w:val="single" w:sz="4" w:space="4" w:color="auto"/>
        </w:pBdr>
        <w:ind w:left="0"/>
        <w:jc w:val="both"/>
        <w:rPr>
          <w:rFonts w:cs="Arial"/>
          <w:b/>
          <w:sz w:val="16"/>
          <w:szCs w:val="16"/>
          <w:lang w:val="es-CO"/>
        </w:rPr>
      </w:pPr>
    </w:p>
    <w:p w14:paraId="7FE9DE8B" w14:textId="49BCF701" w:rsidR="00BE7AD2" w:rsidRPr="00BE7AD2" w:rsidRDefault="1CB67B3B" w:rsidP="00BE7AD2">
      <w:pPr>
        <w:pStyle w:val="Prrafodelista"/>
        <w:pBdr>
          <w:left w:val="single" w:sz="4" w:space="4" w:color="auto"/>
        </w:pBdr>
        <w:ind w:left="0"/>
        <w:jc w:val="both"/>
        <w:rPr>
          <w:rFonts w:cs="Arial"/>
          <w:b/>
          <w:sz w:val="16"/>
          <w:szCs w:val="16"/>
          <w:lang w:val="es-CO"/>
        </w:rPr>
      </w:pPr>
      <w:r w:rsidRPr="00BE7AD2">
        <w:rPr>
          <w:rFonts w:cs="Arial"/>
          <w:b/>
          <w:sz w:val="16"/>
          <w:szCs w:val="16"/>
          <w:lang w:val="es-CO"/>
        </w:rPr>
        <w:t>3.4.</w:t>
      </w:r>
      <w:r w:rsidR="00F24D2F">
        <w:rPr>
          <w:rFonts w:cs="Arial"/>
          <w:b/>
          <w:sz w:val="16"/>
          <w:szCs w:val="16"/>
          <w:lang w:val="es-CO"/>
        </w:rPr>
        <w:t>1.</w:t>
      </w:r>
      <w:r w:rsidR="00AC54DE" w:rsidRPr="00BE7AD2">
        <w:rPr>
          <w:rFonts w:cs="Arial"/>
          <w:b/>
          <w:sz w:val="16"/>
          <w:szCs w:val="16"/>
          <w:lang w:val="es-CO"/>
        </w:rPr>
        <w:t xml:space="preserve">4.1. </w:t>
      </w:r>
      <w:r w:rsidR="00D417FA" w:rsidRPr="00BE7AD2">
        <w:rPr>
          <w:rFonts w:cs="Arial"/>
          <w:b/>
          <w:sz w:val="16"/>
          <w:szCs w:val="16"/>
          <w:lang w:val="es-CO"/>
        </w:rPr>
        <w:t>Los modelos y metodologías adoptados por la sociedad de capitalización para la medición y valoración del riesgo financiero asociado con este tipo de inversiones.</w:t>
      </w:r>
    </w:p>
    <w:p w14:paraId="32C8954C" w14:textId="77777777" w:rsidR="00BE7AD2" w:rsidRPr="00BE7AD2" w:rsidRDefault="00BE7AD2" w:rsidP="00BE7AD2">
      <w:pPr>
        <w:pStyle w:val="Prrafodelista"/>
        <w:pBdr>
          <w:left w:val="single" w:sz="4" w:space="4" w:color="auto"/>
        </w:pBdr>
        <w:ind w:left="0"/>
        <w:jc w:val="both"/>
        <w:rPr>
          <w:rFonts w:cs="Arial"/>
          <w:b/>
          <w:sz w:val="16"/>
          <w:szCs w:val="16"/>
          <w:lang w:val="es-CO"/>
        </w:rPr>
      </w:pPr>
    </w:p>
    <w:p w14:paraId="59768B73" w14:textId="261BFD47" w:rsidR="00BE7AD2" w:rsidRPr="00BE7AD2" w:rsidRDefault="4FB4ED59" w:rsidP="00BE7AD2">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00AC54DE" w:rsidRPr="00BE7AD2">
        <w:rPr>
          <w:rFonts w:cs="Arial"/>
          <w:b/>
          <w:sz w:val="16"/>
          <w:szCs w:val="16"/>
          <w:lang w:val="es-CO"/>
        </w:rPr>
        <w:t>.4.</w:t>
      </w:r>
      <w:r w:rsidR="00F24D2F">
        <w:rPr>
          <w:rFonts w:cs="Arial"/>
          <w:b/>
          <w:sz w:val="16"/>
          <w:szCs w:val="16"/>
          <w:lang w:val="es-CO"/>
        </w:rPr>
        <w:t>1.</w:t>
      </w:r>
      <w:r w:rsidR="00AC54DE" w:rsidRPr="00BE7AD2">
        <w:rPr>
          <w:rFonts w:cs="Arial"/>
          <w:b/>
          <w:sz w:val="16"/>
          <w:szCs w:val="16"/>
          <w:lang w:val="es-CO"/>
        </w:rPr>
        <w:t xml:space="preserve">4.2. </w:t>
      </w:r>
      <w:r w:rsidR="00D417FA" w:rsidRPr="00BE7AD2">
        <w:rPr>
          <w:rFonts w:cs="Arial"/>
          <w:b/>
          <w:sz w:val="16"/>
          <w:szCs w:val="16"/>
          <w:lang w:val="es-CO"/>
        </w:rPr>
        <w:t xml:space="preserve">Las políticas y límites prudenciales </w:t>
      </w:r>
      <w:r w:rsidR="000046EF">
        <w:rPr>
          <w:rFonts w:cs="Arial"/>
          <w:b/>
          <w:sz w:val="16"/>
          <w:szCs w:val="16"/>
          <w:lang w:val="es-CO"/>
        </w:rPr>
        <w:t>internos</w:t>
      </w:r>
      <w:r w:rsidR="00D417FA" w:rsidRPr="00BE7AD2">
        <w:rPr>
          <w:rFonts w:cs="Arial"/>
          <w:b/>
          <w:sz w:val="16"/>
          <w:szCs w:val="16"/>
          <w:lang w:val="es-CO"/>
        </w:rPr>
        <w:t xml:space="preserve"> establecidos por la sociedad de capitalización para la exposición al riesgo financiero asociado con este tipo de inversiones.</w:t>
      </w:r>
    </w:p>
    <w:p w14:paraId="657D5093" w14:textId="77777777" w:rsidR="00BE7AD2" w:rsidRPr="00BE7AD2" w:rsidRDefault="00BE7AD2" w:rsidP="00BE7AD2">
      <w:pPr>
        <w:pStyle w:val="Prrafodelista"/>
        <w:pBdr>
          <w:left w:val="single" w:sz="4" w:space="4" w:color="auto"/>
        </w:pBdr>
        <w:ind w:left="0"/>
        <w:jc w:val="both"/>
        <w:rPr>
          <w:rFonts w:cs="Arial"/>
          <w:b/>
          <w:sz w:val="16"/>
          <w:szCs w:val="16"/>
          <w:lang w:val="es-CO"/>
        </w:rPr>
      </w:pPr>
    </w:p>
    <w:p w14:paraId="6A6FE8E1" w14:textId="09A3B073" w:rsidR="00BE7AD2" w:rsidRPr="00BE7AD2" w:rsidRDefault="00AD3EFA" w:rsidP="00BE7AD2">
      <w:pPr>
        <w:pStyle w:val="Prrafodelista"/>
        <w:pBdr>
          <w:left w:val="single" w:sz="4" w:space="4" w:color="auto"/>
        </w:pBdr>
        <w:ind w:left="0"/>
        <w:jc w:val="both"/>
        <w:rPr>
          <w:b/>
          <w:sz w:val="16"/>
          <w:szCs w:val="16"/>
        </w:rPr>
      </w:pPr>
      <w:r w:rsidRPr="00BE7AD2">
        <w:rPr>
          <w:b/>
          <w:sz w:val="16"/>
          <w:szCs w:val="16"/>
          <w:lang w:val="es-CO"/>
        </w:rPr>
        <w:t>3</w:t>
      </w:r>
      <w:r w:rsidR="00AC54DE" w:rsidRPr="00BE7AD2">
        <w:rPr>
          <w:rFonts w:cs="Arial"/>
          <w:b/>
          <w:sz w:val="16"/>
          <w:szCs w:val="16"/>
          <w:lang w:val="es-CO"/>
        </w:rPr>
        <w:t>.4.</w:t>
      </w:r>
      <w:r w:rsidR="00F24D2F">
        <w:rPr>
          <w:rFonts w:cs="Arial"/>
          <w:b/>
          <w:sz w:val="16"/>
          <w:szCs w:val="16"/>
          <w:lang w:val="es-CO"/>
        </w:rPr>
        <w:t>1.</w:t>
      </w:r>
      <w:r w:rsidRPr="00BE7AD2">
        <w:rPr>
          <w:b/>
          <w:sz w:val="16"/>
          <w:szCs w:val="16"/>
          <w:lang w:val="es-CO"/>
        </w:rPr>
        <w:t>4.</w:t>
      </w:r>
      <w:r w:rsidR="00AC54DE" w:rsidRPr="00BE7AD2">
        <w:rPr>
          <w:rFonts w:cs="Arial"/>
          <w:b/>
          <w:sz w:val="16"/>
          <w:szCs w:val="16"/>
          <w:lang w:val="es-CO"/>
        </w:rPr>
        <w:t xml:space="preserve">3. </w:t>
      </w:r>
      <w:r w:rsidR="00226E5E" w:rsidRPr="00BE7AD2">
        <w:rPr>
          <w:b/>
          <w:sz w:val="16"/>
          <w:szCs w:val="16"/>
        </w:rPr>
        <w:t xml:space="preserve">Los procesos adoptados para la medición, monitoreo y reporte de los riesgos financiero y </w:t>
      </w:r>
      <w:proofErr w:type="gramStart"/>
      <w:r w:rsidR="00226E5E" w:rsidRPr="00BE7AD2">
        <w:rPr>
          <w:b/>
          <w:sz w:val="16"/>
          <w:szCs w:val="16"/>
        </w:rPr>
        <w:t>opera</w:t>
      </w:r>
      <w:r w:rsidR="000848ED">
        <w:rPr>
          <w:b/>
          <w:sz w:val="16"/>
          <w:szCs w:val="16"/>
        </w:rPr>
        <w:t xml:space="preserve">cional </w:t>
      </w:r>
      <w:r w:rsidR="00226E5E" w:rsidRPr="00BE7AD2">
        <w:rPr>
          <w:b/>
          <w:sz w:val="16"/>
          <w:szCs w:val="16"/>
        </w:rPr>
        <w:t xml:space="preserve"> asociados</w:t>
      </w:r>
      <w:proofErr w:type="gramEnd"/>
      <w:r w:rsidR="00226E5E" w:rsidRPr="00BE7AD2">
        <w:rPr>
          <w:b/>
          <w:sz w:val="16"/>
          <w:szCs w:val="16"/>
        </w:rPr>
        <w:t xml:space="preserve"> con este tipo de inversiones. </w:t>
      </w:r>
    </w:p>
    <w:p w14:paraId="2FC10886" w14:textId="77777777" w:rsidR="00BE7AD2" w:rsidRPr="00BE7AD2" w:rsidRDefault="00BE7AD2" w:rsidP="00BE7AD2">
      <w:pPr>
        <w:pStyle w:val="Prrafodelista"/>
        <w:pBdr>
          <w:left w:val="single" w:sz="4" w:space="4" w:color="auto"/>
        </w:pBdr>
        <w:ind w:left="0"/>
        <w:jc w:val="both"/>
        <w:rPr>
          <w:b/>
          <w:sz w:val="16"/>
          <w:szCs w:val="16"/>
        </w:rPr>
      </w:pPr>
    </w:p>
    <w:p w14:paraId="71C8374E" w14:textId="2055D8C1" w:rsidR="00BE7AD2" w:rsidRPr="00BE7AD2" w:rsidRDefault="00AD3EFA" w:rsidP="00BE7AD2">
      <w:pPr>
        <w:pStyle w:val="Prrafodelista"/>
        <w:pBdr>
          <w:left w:val="single" w:sz="4" w:space="4" w:color="auto"/>
        </w:pBdr>
        <w:ind w:left="0"/>
        <w:jc w:val="both"/>
        <w:rPr>
          <w:b/>
          <w:sz w:val="16"/>
          <w:szCs w:val="16"/>
        </w:rPr>
      </w:pPr>
      <w:r w:rsidRPr="00BE7AD2">
        <w:rPr>
          <w:b/>
          <w:sz w:val="16"/>
          <w:szCs w:val="16"/>
          <w:lang w:val="es-CO"/>
        </w:rPr>
        <w:t>3.4</w:t>
      </w:r>
      <w:r w:rsidR="00660428" w:rsidRPr="00BE7AD2">
        <w:rPr>
          <w:rFonts w:cs="Arial"/>
          <w:b/>
          <w:sz w:val="16"/>
          <w:szCs w:val="16"/>
          <w:lang w:val="es-CO"/>
        </w:rPr>
        <w:t>.</w:t>
      </w:r>
      <w:r w:rsidR="00F24D2F">
        <w:rPr>
          <w:rFonts w:cs="Arial"/>
          <w:b/>
          <w:sz w:val="16"/>
          <w:szCs w:val="16"/>
          <w:lang w:val="es-CO"/>
        </w:rPr>
        <w:t>1.</w:t>
      </w:r>
      <w:r w:rsidR="00660428" w:rsidRPr="00BE7AD2">
        <w:rPr>
          <w:rFonts w:cs="Arial"/>
          <w:b/>
          <w:sz w:val="16"/>
          <w:szCs w:val="16"/>
          <w:lang w:val="es-CO"/>
        </w:rPr>
        <w:t>4.</w:t>
      </w:r>
      <w:r w:rsidR="00660428" w:rsidRPr="00BE7AD2">
        <w:rPr>
          <w:b/>
          <w:sz w:val="16"/>
          <w:szCs w:val="16"/>
          <w:lang w:val="es-CO"/>
        </w:rPr>
        <w:t xml:space="preserve">4. </w:t>
      </w:r>
      <w:r w:rsidR="00660428" w:rsidRPr="00BE7AD2">
        <w:rPr>
          <w:b/>
          <w:sz w:val="16"/>
          <w:szCs w:val="16"/>
        </w:rPr>
        <w:t>Las políticas y medidas de control interno adoptadas por la sociedad de capitalización para corregir cualquier desviación que ocurra con respecto a la máxima exposición a los riesgos financiero y operacional establecida en la Política de Inversión.</w:t>
      </w:r>
    </w:p>
    <w:p w14:paraId="4D6F1A39" w14:textId="77777777" w:rsidR="00BE7AD2" w:rsidRPr="00BE7AD2" w:rsidRDefault="00BE7AD2" w:rsidP="00BE7AD2">
      <w:pPr>
        <w:pStyle w:val="Prrafodelista"/>
        <w:pBdr>
          <w:left w:val="single" w:sz="4" w:space="4" w:color="auto"/>
        </w:pBdr>
        <w:ind w:left="0"/>
        <w:jc w:val="both"/>
        <w:rPr>
          <w:b/>
          <w:sz w:val="16"/>
          <w:szCs w:val="16"/>
        </w:rPr>
      </w:pPr>
    </w:p>
    <w:p w14:paraId="280B13DC" w14:textId="77777777" w:rsidR="00BE7AD2" w:rsidRPr="00BE7AD2" w:rsidRDefault="00660428" w:rsidP="00BE7AD2">
      <w:pPr>
        <w:pStyle w:val="Prrafodelista"/>
        <w:pBdr>
          <w:left w:val="single" w:sz="4" w:space="4" w:color="auto"/>
        </w:pBdr>
        <w:ind w:left="0"/>
        <w:jc w:val="both"/>
        <w:rPr>
          <w:rFonts w:cs="Arial"/>
          <w:b/>
          <w:sz w:val="16"/>
          <w:szCs w:val="16"/>
          <w:lang w:val="es-CO"/>
        </w:rPr>
      </w:pPr>
      <w:r w:rsidRPr="00BE7AD2">
        <w:rPr>
          <w:b/>
          <w:sz w:val="16"/>
          <w:szCs w:val="16"/>
        </w:rPr>
        <w:t>Estas políticas deben detallar el procedimiento, requisitos, instancias responsables, y los procedimientos de desmonte o la modificación de los limites internos en los casos en los que ocurran desviaciones.</w:t>
      </w:r>
    </w:p>
    <w:p w14:paraId="10EFF523" w14:textId="77777777" w:rsidR="00BE7AD2" w:rsidRPr="00BE7AD2" w:rsidRDefault="00BE7AD2" w:rsidP="00BE7AD2">
      <w:pPr>
        <w:pStyle w:val="Prrafodelista"/>
        <w:pBdr>
          <w:left w:val="single" w:sz="4" w:space="4" w:color="auto"/>
        </w:pBdr>
        <w:ind w:left="0"/>
        <w:jc w:val="both"/>
        <w:rPr>
          <w:rFonts w:cs="Arial"/>
          <w:b/>
          <w:sz w:val="16"/>
          <w:szCs w:val="16"/>
          <w:lang w:val="es-CO"/>
        </w:rPr>
      </w:pPr>
    </w:p>
    <w:p w14:paraId="64236D0B" w14:textId="14CBB5BC" w:rsidR="00BE7AD2" w:rsidRPr="00BE7AD2" w:rsidRDefault="00AD3EFA" w:rsidP="00BE7AD2">
      <w:pPr>
        <w:pStyle w:val="Prrafodelista"/>
        <w:pBdr>
          <w:left w:val="single" w:sz="4" w:space="4" w:color="auto"/>
        </w:pBdr>
        <w:ind w:left="0"/>
        <w:jc w:val="both"/>
        <w:rPr>
          <w:rFonts w:cs="Arial"/>
          <w:b/>
          <w:sz w:val="16"/>
          <w:szCs w:val="16"/>
          <w:lang w:val="es-CO"/>
        </w:rPr>
      </w:pPr>
      <w:r w:rsidRPr="00BE7AD2">
        <w:rPr>
          <w:rFonts w:cs="Arial"/>
          <w:b/>
          <w:sz w:val="16"/>
          <w:szCs w:val="16"/>
          <w:lang w:val="es-CO"/>
        </w:rPr>
        <w:t>3.4</w:t>
      </w:r>
      <w:r w:rsidR="00AA3B58" w:rsidRPr="00BE7AD2">
        <w:rPr>
          <w:rFonts w:cs="Arial"/>
          <w:b/>
          <w:sz w:val="16"/>
          <w:szCs w:val="16"/>
          <w:lang w:val="es-CO"/>
        </w:rPr>
        <w:t>.</w:t>
      </w:r>
      <w:r w:rsidR="00F24D2F">
        <w:rPr>
          <w:rFonts w:cs="Arial"/>
          <w:b/>
          <w:sz w:val="16"/>
          <w:szCs w:val="16"/>
          <w:lang w:val="es-CO"/>
        </w:rPr>
        <w:t>1.</w:t>
      </w:r>
      <w:r w:rsidR="00AA3B58" w:rsidRPr="00BE7AD2">
        <w:rPr>
          <w:rFonts w:cs="Arial"/>
          <w:b/>
          <w:sz w:val="16"/>
          <w:szCs w:val="16"/>
          <w:lang w:val="es-CO"/>
        </w:rPr>
        <w:t>4.</w:t>
      </w:r>
      <w:r w:rsidR="00AA3B58" w:rsidRPr="00BE7AD2">
        <w:rPr>
          <w:b/>
          <w:sz w:val="16"/>
          <w:szCs w:val="16"/>
          <w:lang w:val="es-CO"/>
        </w:rPr>
        <w:t xml:space="preserve">5. </w:t>
      </w:r>
      <w:r w:rsidR="00AC54DE" w:rsidRPr="00BE7AD2">
        <w:rPr>
          <w:rFonts w:cs="Arial"/>
          <w:b/>
          <w:sz w:val="16"/>
          <w:szCs w:val="16"/>
          <w:lang w:val="es-CO"/>
        </w:rPr>
        <w:t>Las políticas para la toma de decisiones de inversión en activos alternativos, incluyendo</w:t>
      </w:r>
      <w:r w:rsidR="00DE3500" w:rsidRPr="00BE7AD2">
        <w:rPr>
          <w:rFonts w:cs="Arial"/>
          <w:b/>
          <w:sz w:val="16"/>
          <w:szCs w:val="16"/>
          <w:lang w:val="es-CO"/>
        </w:rPr>
        <w:t>:</w:t>
      </w:r>
    </w:p>
    <w:p w14:paraId="61FC60D4" w14:textId="0D1BC696" w:rsidR="00BE7AD2" w:rsidRPr="00BE7AD2" w:rsidRDefault="00AD3EFA" w:rsidP="1509FEBC">
      <w:pPr>
        <w:pStyle w:val="Prrafodelista"/>
        <w:pBdr>
          <w:left w:val="single" w:sz="4" w:space="4" w:color="auto"/>
        </w:pBdr>
        <w:ind w:left="0"/>
        <w:jc w:val="both"/>
        <w:rPr>
          <w:rFonts w:cs="Arial"/>
          <w:b/>
          <w:bCs/>
          <w:sz w:val="16"/>
          <w:szCs w:val="16"/>
          <w:lang w:val="es-CO"/>
        </w:rPr>
      </w:pPr>
      <w:r w:rsidRPr="00BE7AD2">
        <w:rPr>
          <w:rFonts w:cs="Arial"/>
          <w:b/>
          <w:sz w:val="16"/>
          <w:szCs w:val="16"/>
          <w:lang w:val="es-CO"/>
        </w:rPr>
        <w:t>3</w:t>
      </w:r>
      <w:r w:rsidR="00DE3500" w:rsidRPr="00BE7AD2">
        <w:rPr>
          <w:rFonts w:cs="Arial"/>
          <w:b/>
          <w:sz w:val="16"/>
          <w:szCs w:val="16"/>
          <w:lang w:val="es-CO"/>
        </w:rPr>
        <w:t>.</w:t>
      </w:r>
      <w:r w:rsidRPr="00BE7AD2">
        <w:rPr>
          <w:rFonts w:cs="Arial"/>
          <w:b/>
          <w:sz w:val="16"/>
          <w:szCs w:val="16"/>
          <w:lang w:val="es-CO"/>
        </w:rPr>
        <w:t>4.</w:t>
      </w:r>
      <w:r w:rsidR="00F24D2F">
        <w:rPr>
          <w:rFonts w:cs="Arial"/>
          <w:b/>
          <w:sz w:val="16"/>
          <w:szCs w:val="16"/>
          <w:lang w:val="es-CO"/>
        </w:rPr>
        <w:t>1.</w:t>
      </w:r>
      <w:r w:rsidR="00DE3500" w:rsidRPr="00BE7AD2">
        <w:rPr>
          <w:rFonts w:cs="Arial"/>
          <w:b/>
          <w:sz w:val="16"/>
          <w:szCs w:val="16"/>
          <w:lang w:val="es-CO"/>
        </w:rPr>
        <w:t>4.5.1.</w:t>
      </w:r>
      <w:r w:rsidR="00AC54DE" w:rsidRPr="00BE7AD2">
        <w:rPr>
          <w:rFonts w:cs="Arial"/>
          <w:b/>
          <w:sz w:val="16"/>
          <w:szCs w:val="16"/>
          <w:lang w:val="es-CO"/>
        </w:rPr>
        <w:t xml:space="preserve"> </w:t>
      </w:r>
      <w:r w:rsidR="00AA33B2" w:rsidRPr="00BE7AD2">
        <w:rPr>
          <w:rFonts w:cs="Arial"/>
          <w:b/>
          <w:sz w:val="16"/>
          <w:szCs w:val="16"/>
          <w:lang w:val="es-CO"/>
        </w:rPr>
        <w:t>L</w:t>
      </w:r>
      <w:r w:rsidR="00DE3500" w:rsidRPr="00BE7AD2">
        <w:rPr>
          <w:rFonts w:cs="Arial"/>
          <w:b/>
          <w:sz w:val="16"/>
          <w:szCs w:val="16"/>
          <w:lang w:val="es-CO"/>
        </w:rPr>
        <w:t>a c</w:t>
      </w:r>
      <w:r w:rsidR="00AC54DE" w:rsidRPr="00BE7AD2">
        <w:rPr>
          <w:rFonts w:cs="Arial"/>
          <w:b/>
          <w:sz w:val="16"/>
          <w:szCs w:val="16"/>
          <w:lang w:val="es-CO"/>
        </w:rPr>
        <w:t>aracterización de los perfiles y cargos de</w:t>
      </w:r>
      <w:r w:rsidR="006774FF" w:rsidRPr="00BE7AD2">
        <w:rPr>
          <w:rFonts w:cs="Arial"/>
          <w:b/>
          <w:sz w:val="16"/>
          <w:szCs w:val="16"/>
          <w:lang w:val="es-CO"/>
        </w:rPr>
        <w:t xml:space="preserve">l personal </w:t>
      </w:r>
      <w:r w:rsidR="00AC54DE" w:rsidRPr="00BE7AD2">
        <w:rPr>
          <w:rFonts w:cs="Arial"/>
          <w:b/>
          <w:sz w:val="16"/>
          <w:szCs w:val="16"/>
          <w:lang w:val="es-CO"/>
        </w:rPr>
        <w:t>que podrán realizar las inversiones en estos activos</w:t>
      </w:r>
      <w:r w:rsidR="79D2859F" w:rsidRPr="1509FEBC">
        <w:rPr>
          <w:rFonts w:cs="Arial"/>
          <w:b/>
          <w:bCs/>
          <w:sz w:val="16"/>
          <w:szCs w:val="16"/>
          <w:lang w:val="es-CO"/>
        </w:rPr>
        <w:t>.</w:t>
      </w:r>
    </w:p>
    <w:p w14:paraId="6410E08F" w14:textId="4D4D7E89" w:rsidR="00BE7AD2" w:rsidRPr="00BE7AD2" w:rsidRDefault="00AD3EFA" w:rsidP="00BE7AD2">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00DE3500" w:rsidRPr="00BE7AD2">
        <w:rPr>
          <w:rFonts w:cs="Arial"/>
          <w:b/>
          <w:sz w:val="16"/>
          <w:szCs w:val="16"/>
          <w:lang w:val="es-CO"/>
        </w:rPr>
        <w:t>.4.</w:t>
      </w:r>
      <w:r w:rsidR="00F24D2F">
        <w:rPr>
          <w:rFonts w:cs="Arial"/>
          <w:b/>
          <w:sz w:val="16"/>
          <w:szCs w:val="16"/>
          <w:lang w:val="es-CO"/>
        </w:rPr>
        <w:t>1.</w:t>
      </w:r>
      <w:r w:rsidR="00D23DC1" w:rsidRPr="00BE7AD2">
        <w:rPr>
          <w:rFonts w:cs="Arial"/>
          <w:b/>
          <w:sz w:val="16"/>
          <w:szCs w:val="16"/>
          <w:lang w:val="es-CO"/>
        </w:rPr>
        <w:t>4.</w:t>
      </w:r>
      <w:r w:rsidR="00DE3500" w:rsidRPr="00BE7AD2">
        <w:rPr>
          <w:rFonts w:cs="Arial"/>
          <w:b/>
          <w:sz w:val="16"/>
          <w:szCs w:val="16"/>
          <w:lang w:val="es-CO"/>
        </w:rPr>
        <w:t xml:space="preserve">5.2. </w:t>
      </w:r>
      <w:r w:rsidR="00AA33B2" w:rsidRPr="00BE7AD2">
        <w:rPr>
          <w:rFonts w:cs="Arial"/>
          <w:b/>
          <w:sz w:val="16"/>
          <w:szCs w:val="16"/>
          <w:lang w:val="es-CO"/>
        </w:rPr>
        <w:t>L</w:t>
      </w:r>
      <w:r w:rsidR="00AA3B58" w:rsidRPr="00BE7AD2">
        <w:rPr>
          <w:rFonts w:cs="Arial"/>
          <w:b/>
          <w:sz w:val="16"/>
          <w:szCs w:val="16"/>
          <w:lang w:val="es-CO"/>
        </w:rPr>
        <w:t xml:space="preserve">os </w:t>
      </w:r>
      <w:r w:rsidR="00DE3500" w:rsidRPr="00BE7AD2">
        <w:rPr>
          <w:b/>
          <w:sz w:val="16"/>
          <w:szCs w:val="16"/>
        </w:rPr>
        <w:t>c</w:t>
      </w:r>
      <w:r w:rsidR="00AA3B58" w:rsidRPr="00BE7AD2">
        <w:rPr>
          <w:b/>
          <w:sz w:val="16"/>
          <w:szCs w:val="16"/>
        </w:rPr>
        <w:t xml:space="preserve">riterios de selección de las inversiones alternativas, </w:t>
      </w:r>
    </w:p>
    <w:p w14:paraId="2AC6899F" w14:textId="558B11B4" w:rsidR="00BE7AD2" w:rsidRPr="00BE7AD2" w:rsidRDefault="00D23DC1" w:rsidP="00BE7AD2">
      <w:pPr>
        <w:pStyle w:val="Prrafodelista"/>
        <w:pBdr>
          <w:left w:val="single" w:sz="4" w:space="4" w:color="auto"/>
        </w:pBdr>
        <w:ind w:left="0"/>
        <w:jc w:val="both"/>
        <w:rPr>
          <w:rFonts w:cs="Arial"/>
          <w:b/>
          <w:sz w:val="16"/>
          <w:szCs w:val="16"/>
          <w:lang w:val="es-CO"/>
        </w:rPr>
      </w:pPr>
      <w:r w:rsidRPr="00BE7AD2">
        <w:rPr>
          <w:b/>
          <w:sz w:val="16"/>
          <w:szCs w:val="16"/>
        </w:rPr>
        <w:t>3</w:t>
      </w:r>
      <w:r w:rsidR="00DE3500" w:rsidRPr="00BE7AD2">
        <w:rPr>
          <w:b/>
          <w:sz w:val="16"/>
          <w:szCs w:val="16"/>
        </w:rPr>
        <w:t>.4.</w:t>
      </w:r>
      <w:r w:rsidR="00F24D2F">
        <w:rPr>
          <w:b/>
          <w:sz w:val="16"/>
          <w:szCs w:val="16"/>
        </w:rPr>
        <w:t>1.</w:t>
      </w:r>
      <w:r w:rsidRPr="00BE7AD2">
        <w:rPr>
          <w:b/>
          <w:sz w:val="16"/>
          <w:szCs w:val="16"/>
        </w:rPr>
        <w:t>4.</w:t>
      </w:r>
      <w:r w:rsidR="00DE3500" w:rsidRPr="00BE7AD2">
        <w:rPr>
          <w:b/>
          <w:sz w:val="16"/>
          <w:szCs w:val="16"/>
        </w:rPr>
        <w:t>5.3.</w:t>
      </w:r>
      <w:r w:rsidR="00AA33B2" w:rsidRPr="00BE7AD2">
        <w:rPr>
          <w:b/>
          <w:sz w:val="16"/>
          <w:szCs w:val="16"/>
        </w:rPr>
        <w:t xml:space="preserve"> </w:t>
      </w:r>
      <w:r w:rsidR="00AA33B2" w:rsidRPr="00BE7AD2">
        <w:rPr>
          <w:rFonts w:cs="Arial"/>
          <w:b/>
          <w:sz w:val="16"/>
          <w:szCs w:val="16"/>
          <w:lang w:val="es-CO"/>
        </w:rPr>
        <w:t>L</w:t>
      </w:r>
      <w:r w:rsidR="00AC54DE" w:rsidRPr="00BE7AD2">
        <w:rPr>
          <w:rFonts w:cs="Arial"/>
          <w:b/>
          <w:sz w:val="16"/>
          <w:szCs w:val="16"/>
          <w:lang w:val="es-CO"/>
        </w:rPr>
        <w:t>os análisis de que serán objeto el gestor profesional y la sociedad administradora de los vehículos de inversión</w:t>
      </w:r>
      <w:r w:rsidR="00AA33B2" w:rsidRPr="00BE7AD2">
        <w:rPr>
          <w:rFonts w:cs="Arial"/>
          <w:b/>
          <w:sz w:val="16"/>
          <w:szCs w:val="16"/>
          <w:lang w:val="es-CO"/>
        </w:rPr>
        <w:t>.</w:t>
      </w:r>
    </w:p>
    <w:p w14:paraId="578E4BD4" w14:textId="687413E5" w:rsidR="00BE7AD2" w:rsidRPr="00BE7AD2" w:rsidRDefault="00D23DC1" w:rsidP="00BE7AD2">
      <w:pPr>
        <w:pStyle w:val="Prrafodelista"/>
        <w:pBdr>
          <w:left w:val="single" w:sz="4" w:space="4" w:color="auto"/>
        </w:pBdr>
        <w:ind w:left="0"/>
        <w:jc w:val="both"/>
        <w:rPr>
          <w:rFonts w:cs="Arial"/>
          <w:b/>
          <w:sz w:val="16"/>
          <w:szCs w:val="16"/>
          <w:lang w:val="es-CO"/>
        </w:rPr>
      </w:pPr>
      <w:r w:rsidRPr="00BE7AD2">
        <w:rPr>
          <w:rFonts w:cs="Arial"/>
          <w:b/>
          <w:sz w:val="16"/>
          <w:szCs w:val="16"/>
          <w:lang w:val="es-CO"/>
        </w:rPr>
        <w:t>3</w:t>
      </w:r>
      <w:r w:rsidR="00D07554" w:rsidRPr="00BE7AD2">
        <w:rPr>
          <w:rFonts w:cs="Arial"/>
          <w:b/>
          <w:sz w:val="16"/>
          <w:szCs w:val="16"/>
          <w:lang w:val="es-CO"/>
        </w:rPr>
        <w:t>.4.</w:t>
      </w:r>
      <w:r w:rsidR="00F24D2F">
        <w:rPr>
          <w:rFonts w:cs="Arial"/>
          <w:b/>
          <w:sz w:val="16"/>
          <w:szCs w:val="16"/>
          <w:lang w:val="es-CO"/>
        </w:rPr>
        <w:t>1.</w:t>
      </w:r>
      <w:r w:rsidRPr="00BE7AD2">
        <w:rPr>
          <w:rFonts w:cs="Arial"/>
          <w:b/>
          <w:sz w:val="16"/>
          <w:szCs w:val="16"/>
          <w:lang w:val="es-CO"/>
        </w:rPr>
        <w:t>4.</w:t>
      </w:r>
      <w:r w:rsidR="003A0502" w:rsidRPr="00BE7AD2">
        <w:rPr>
          <w:rFonts w:cs="Arial"/>
          <w:b/>
          <w:sz w:val="16"/>
          <w:szCs w:val="16"/>
          <w:lang w:val="es-CO"/>
        </w:rPr>
        <w:t>5.4. L</w:t>
      </w:r>
      <w:r w:rsidR="00AC54DE" w:rsidRPr="00BE7AD2">
        <w:rPr>
          <w:rFonts w:cs="Arial"/>
          <w:b/>
          <w:sz w:val="16"/>
          <w:szCs w:val="16"/>
          <w:lang w:val="es-CO"/>
        </w:rPr>
        <w:t>as políticas contables y de valoración</w:t>
      </w:r>
      <w:r w:rsidR="00015A0C" w:rsidRPr="00BE7AD2">
        <w:rPr>
          <w:rFonts w:cs="Arial"/>
          <w:b/>
          <w:sz w:val="16"/>
          <w:szCs w:val="16"/>
          <w:lang w:val="es-CO"/>
        </w:rPr>
        <w:t xml:space="preserve"> </w:t>
      </w:r>
      <w:r w:rsidR="00015A0C" w:rsidRPr="00BE7AD2">
        <w:rPr>
          <w:b/>
          <w:sz w:val="16"/>
          <w:szCs w:val="16"/>
        </w:rPr>
        <w:t>de los vehículos y su ajuste a la naturaleza y realidad económica del activo</w:t>
      </w:r>
      <w:r w:rsidR="00AC54DE" w:rsidRPr="00BE7AD2">
        <w:rPr>
          <w:rFonts w:cs="Arial"/>
          <w:b/>
          <w:sz w:val="16"/>
          <w:szCs w:val="16"/>
          <w:lang w:val="es-CO"/>
        </w:rPr>
        <w:t>.</w:t>
      </w:r>
    </w:p>
    <w:p w14:paraId="5F589967" w14:textId="77777777" w:rsidR="00BE7AD2" w:rsidRPr="00BE7AD2" w:rsidRDefault="00BE7AD2" w:rsidP="00BE7AD2">
      <w:pPr>
        <w:pStyle w:val="Prrafodelista"/>
        <w:pBdr>
          <w:left w:val="single" w:sz="4" w:space="4" w:color="auto"/>
        </w:pBdr>
        <w:ind w:left="0"/>
        <w:jc w:val="both"/>
        <w:rPr>
          <w:rFonts w:cs="Arial"/>
          <w:b/>
          <w:sz w:val="16"/>
          <w:szCs w:val="16"/>
          <w:lang w:val="es-CO"/>
        </w:rPr>
      </w:pPr>
    </w:p>
    <w:p w14:paraId="06E5D9B5" w14:textId="5FDEB601" w:rsidR="00BE7AD2" w:rsidRPr="00BE7AD2" w:rsidRDefault="005E3006" w:rsidP="00BE7AD2">
      <w:pPr>
        <w:pStyle w:val="Prrafodelista"/>
        <w:pBdr>
          <w:left w:val="single" w:sz="4" w:space="4" w:color="auto"/>
        </w:pBdr>
        <w:ind w:left="0"/>
        <w:jc w:val="both"/>
        <w:rPr>
          <w:b/>
          <w:sz w:val="16"/>
          <w:szCs w:val="16"/>
        </w:rPr>
      </w:pPr>
      <w:r w:rsidRPr="00BE7AD2">
        <w:rPr>
          <w:b/>
          <w:sz w:val="16"/>
          <w:szCs w:val="16"/>
        </w:rPr>
        <w:t>3.4</w:t>
      </w:r>
      <w:r w:rsidR="00E23C8A" w:rsidRPr="00BE7AD2">
        <w:rPr>
          <w:b/>
          <w:sz w:val="16"/>
          <w:szCs w:val="16"/>
        </w:rPr>
        <w:t>.</w:t>
      </w:r>
      <w:r w:rsidR="00F24D2F">
        <w:rPr>
          <w:b/>
          <w:sz w:val="16"/>
          <w:szCs w:val="16"/>
        </w:rPr>
        <w:t>1.</w:t>
      </w:r>
      <w:r w:rsidR="00E23C8A" w:rsidRPr="00BE7AD2">
        <w:rPr>
          <w:b/>
          <w:sz w:val="16"/>
          <w:szCs w:val="16"/>
        </w:rPr>
        <w:t>4.</w:t>
      </w:r>
      <w:r w:rsidR="00912B51" w:rsidRPr="00BE7AD2">
        <w:rPr>
          <w:b/>
          <w:sz w:val="16"/>
          <w:szCs w:val="16"/>
        </w:rPr>
        <w:t>6</w:t>
      </w:r>
      <w:r w:rsidR="00E23C8A" w:rsidRPr="00BE7AD2">
        <w:rPr>
          <w:b/>
          <w:sz w:val="16"/>
          <w:szCs w:val="16"/>
        </w:rPr>
        <w:t>. Las políticas, procedimientos y áreas responsables de la realización de la debida diligencia de las condiciones de la inversión en activos alternativos, incluyendo las siguientes:</w:t>
      </w:r>
    </w:p>
    <w:p w14:paraId="6207CE13" w14:textId="77777777" w:rsidR="00BE7AD2" w:rsidRPr="00BE7AD2" w:rsidRDefault="00BE7AD2" w:rsidP="00BE7AD2">
      <w:pPr>
        <w:pStyle w:val="Prrafodelista"/>
        <w:pBdr>
          <w:left w:val="single" w:sz="4" w:space="4" w:color="auto"/>
        </w:pBdr>
        <w:ind w:left="0"/>
        <w:jc w:val="both"/>
        <w:rPr>
          <w:b/>
          <w:sz w:val="16"/>
          <w:szCs w:val="16"/>
        </w:rPr>
      </w:pPr>
    </w:p>
    <w:p w14:paraId="499D46D1" w14:textId="10C1EE61" w:rsidR="00BE7AD2" w:rsidRPr="00BE7AD2" w:rsidRDefault="005F1E76" w:rsidP="00BE7AD2">
      <w:pPr>
        <w:pStyle w:val="Prrafodelista"/>
        <w:pBdr>
          <w:left w:val="single" w:sz="4" w:space="4" w:color="auto"/>
        </w:pBdr>
        <w:ind w:left="0"/>
        <w:jc w:val="both"/>
        <w:rPr>
          <w:b/>
          <w:sz w:val="16"/>
          <w:szCs w:val="16"/>
        </w:rPr>
      </w:pPr>
      <w:r w:rsidRPr="00BE7AD2">
        <w:rPr>
          <w:b/>
          <w:sz w:val="16"/>
          <w:szCs w:val="16"/>
        </w:rPr>
        <w:t>3</w:t>
      </w:r>
      <w:r w:rsidR="00E23C8A" w:rsidRPr="00BE7AD2">
        <w:rPr>
          <w:b/>
          <w:sz w:val="16"/>
          <w:szCs w:val="16"/>
        </w:rPr>
        <w:t>.</w:t>
      </w:r>
      <w:r w:rsidRPr="00BE7AD2">
        <w:rPr>
          <w:b/>
          <w:sz w:val="16"/>
          <w:szCs w:val="16"/>
        </w:rPr>
        <w:t>4</w:t>
      </w:r>
      <w:r w:rsidR="00E23C8A" w:rsidRPr="00BE7AD2">
        <w:rPr>
          <w:b/>
          <w:sz w:val="16"/>
          <w:szCs w:val="16"/>
        </w:rPr>
        <w:t>.</w:t>
      </w:r>
      <w:r w:rsidR="00F24D2F">
        <w:rPr>
          <w:b/>
          <w:sz w:val="16"/>
          <w:szCs w:val="16"/>
        </w:rPr>
        <w:t>1.</w:t>
      </w:r>
      <w:r w:rsidR="00E23C8A" w:rsidRPr="00BE7AD2">
        <w:rPr>
          <w:b/>
          <w:sz w:val="16"/>
          <w:szCs w:val="16"/>
        </w:rPr>
        <w:t>4.</w:t>
      </w:r>
      <w:r w:rsidRPr="00BE7AD2">
        <w:rPr>
          <w:b/>
          <w:sz w:val="16"/>
          <w:szCs w:val="16"/>
        </w:rPr>
        <w:t>6</w:t>
      </w:r>
      <w:r w:rsidR="00E23C8A" w:rsidRPr="00BE7AD2">
        <w:rPr>
          <w:b/>
          <w:sz w:val="16"/>
          <w:szCs w:val="16"/>
        </w:rPr>
        <w:t xml:space="preserve">.1. El ajuste de los reglamentos y/o políticas o mandatos de inversión al cumplimiento de las condiciones tanto legales como internas para la inversión en activos alternativos. </w:t>
      </w:r>
    </w:p>
    <w:p w14:paraId="2B5A4A88" w14:textId="77777777" w:rsidR="00BE7AD2" w:rsidRPr="00BE7AD2" w:rsidRDefault="00BE7AD2" w:rsidP="00BE7AD2">
      <w:pPr>
        <w:pStyle w:val="Prrafodelista"/>
        <w:pBdr>
          <w:left w:val="single" w:sz="4" w:space="4" w:color="auto"/>
        </w:pBdr>
        <w:ind w:left="0"/>
        <w:jc w:val="both"/>
        <w:rPr>
          <w:b/>
          <w:sz w:val="16"/>
          <w:szCs w:val="16"/>
        </w:rPr>
      </w:pPr>
    </w:p>
    <w:p w14:paraId="252E87F8" w14:textId="675917DB" w:rsidR="00BE7AD2" w:rsidRPr="00BE7AD2" w:rsidRDefault="005F1E76" w:rsidP="00BE7AD2">
      <w:pPr>
        <w:pStyle w:val="Prrafodelista"/>
        <w:pBdr>
          <w:left w:val="single" w:sz="4" w:space="4" w:color="auto"/>
        </w:pBdr>
        <w:ind w:left="0"/>
        <w:jc w:val="both"/>
        <w:rPr>
          <w:b/>
          <w:sz w:val="16"/>
          <w:szCs w:val="16"/>
        </w:rPr>
      </w:pPr>
      <w:r w:rsidRPr="00BE7AD2">
        <w:rPr>
          <w:b/>
          <w:sz w:val="16"/>
          <w:szCs w:val="16"/>
        </w:rPr>
        <w:t>3.4.</w:t>
      </w:r>
      <w:r w:rsidR="00F24D2F">
        <w:rPr>
          <w:b/>
          <w:sz w:val="16"/>
          <w:szCs w:val="16"/>
        </w:rPr>
        <w:t>1.</w:t>
      </w:r>
      <w:r w:rsidRPr="00BE7AD2">
        <w:rPr>
          <w:b/>
          <w:sz w:val="16"/>
          <w:szCs w:val="16"/>
        </w:rPr>
        <w:t>4.6</w:t>
      </w:r>
      <w:r w:rsidR="00E23C8A" w:rsidRPr="00BE7AD2">
        <w:rPr>
          <w:b/>
          <w:sz w:val="16"/>
          <w:szCs w:val="16"/>
        </w:rPr>
        <w:t xml:space="preserve">.2. La idoneidad y experiencia del gestor profesional, </w:t>
      </w:r>
      <w:r w:rsidR="004B10C0">
        <w:rPr>
          <w:b/>
          <w:sz w:val="16"/>
          <w:szCs w:val="16"/>
        </w:rPr>
        <w:t>incluyendo</w:t>
      </w:r>
      <w:r w:rsidR="0032035D">
        <w:rPr>
          <w:b/>
          <w:sz w:val="16"/>
          <w:szCs w:val="16"/>
        </w:rPr>
        <w:t xml:space="preserve"> </w:t>
      </w:r>
      <w:r w:rsidR="00E23C8A" w:rsidRPr="00BE7AD2">
        <w:rPr>
          <w:b/>
          <w:sz w:val="16"/>
          <w:szCs w:val="16"/>
        </w:rPr>
        <w:t>el análisis de su estructura de gobierno corporativo, políticas de conflictos de interés y los riesgos de sustitución de personal clave.</w:t>
      </w:r>
    </w:p>
    <w:p w14:paraId="2C00E402" w14:textId="77777777" w:rsidR="00BE7AD2" w:rsidRPr="00BE7AD2" w:rsidRDefault="00BE7AD2" w:rsidP="00BE7AD2">
      <w:pPr>
        <w:pStyle w:val="Prrafodelista"/>
        <w:pBdr>
          <w:left w:val="single" w:sz="4" w:space="4" w:color="auto"/>
        </w:pBdr>
        <w:ind w:left="0"/>
        <w:jc w:val="both"/>
        <w:rPr>
          <w:b/>
          <w:sz w:val="16"/>
          <w:szCs w:val="16"/>
        </w:rPr>
      </w:pPr>
    </w:p>
    <w:p w14:paraId="677BECB9" w14:textId="589E2AB9" w:rsidR="00BE7AD2" w:rsidRPr="00BE7AD2" w:rsidRDefault="005F1E76" w:rsidP="00BE7AD2">
      <w:pPr>
        <w:pStyle w:val="Prrafodelista"/>
        <w:pBdr>
          <w:left w:val="single" w:sz="4" w:space="4" w:color="auto"/>
        </w:pBdr>
        <w:ind w:left="0"/>
        <w:jc w:val="both"/>
        <w:rPr>
          <w:b/>
          <w:sz w:val="16"/>
          <w:szCs w:val="16"/>
        </w:rPr>
      </w:pPr>
      <w:r w:rsidRPr="00BE7AD2">
        <w:rPr>
          <w:b/>
          <w:sz w:val="16"/>
          <w:szCs w:val="16"/>
        </w:rPr>
        <w:t>3.4.</w:t>
      </w:r>
      <w:r w:rsidR="00F24D2F">
        <w:rPr>
          <w:b/>
          <w:sz w:val="16"/>
          <w:szCs w:val="16"/>
        </w:rPr>
        <w:t>1.</w:t>
      </w:r>
      <w:r w:rsidRPr="00BE7AD2">
        <w:rPr>
          <w:b/>
          <w:sz w:val="16"/>
          <w:szCs w:val="16"/>
        </w:rPr>
        <w:t>4.6</w:t>
      </w:r>
      <w:r w:rsidR="00E23C8A" w:rsidRPr="00BE7AD2">
        <w:rPr>
          <w:b/>
          <w:sz w:val="16"/>
          <w:szCs w:val="16"/>
        </w:rPr>
        <w:t>.3. La idoneidad y experiencia de la sociedad administradora</w:t>
      </w:r>
      <w:r w:rsidR="0032035D" w:rsidRPr="00BE7AD2">
        <w:rPr>
          <w:b/>
          <w:sz w:val="16"/>
          <w:szCs w:val="16"/>
        </w:rPr>
        <w:t xml:space="preserve">, </w:t>
      </w:r>
      <w:r w:rsidR="0032035D">
        <w:rPr>
          <w:b/>
          <w:sz w:val="16"/>
          <w:szCs w:val="16"/>
        </w:rPr>
        <w:t xml:space="preserve">incluyendo </w:t>
      </w:r>
      <w:r w:rsidR="00E23C8A" w:rsidRPr="00BE7AD2">
        <w:rPr>
          <w:b/>
          <w:sz w:val="16"/>
          <w:szCs w:val="16"/>
        </w:rPr>
        <w:t>el análisis de su estructura de gobierno corporativo,</w:t>
      </w:r>
      <w:r w:rsidR="00897396">
        <w:rPr>
          <w:b/>
          <w:sz w:val="16"/>
          <w:szCs w:val="16"/>
        </w:rPr>
        <w:t xml:space="preserve"> y </w:t>
      </w:r>
      <w:r w:rsidR="00E23C8A" w:rsidRPr="00BE7AD2">
        <w:rPr>
          <w:b/>
          <w:sz w:val="16"/>
          <w:szCs w:val="16"/>
        </w:rPr>
        <w:t>políticas de conflictos de interés.</w:t>
      </w:r>
    </w:p>
    <w:p w14:paraId="553F5651" w14:textId="77777777" w:rsidR="00BE7AD2" w:rsidRPr="00BE7AD2" w:rsidRDefault="00BE7AD2" w:rsidP="00BE7AD2">
      <w:pPr>
        <w:pStyle w:val="Prrafodelista"/>
        <w:pBdr>
          <w:left w:val="single" w:sz="4" w:space="4" w:color="auto"/>
        </w:pBdr>
        <w:ind w:left="0"/>
        <w:jc w:val="both"/>
        <w:rPr>
          <w:b/>
          <w:sz w:val="16"/>
          <w:szCs w:val="16"/>
        </w:rPr>
      </w:pPr>
    </w:p>
    <w:p w14:paraId="5370D1EC" w14:textId="2E30BAA3" w:rsidR="00BE7AD2" w:rsidRPr="00BE7AD2" w:rsidRDefault="005F1E76" w:rsidP="00BE7AD2">
      <w:pPr>
        <w:pStyle w:val="Prrafodelista"/>
        <w:pBdr>
          <w:left w:val="single" w:sz="4" w:space="4" w:color="auto"/>
        </w:pBdr>
        <w:ind w:left="0"/>
        <w:jc w:val="both"/>
        <w:rPr>
          <w:b/>
          <w:sz w:val="16"/>
          <w:szCs w:val="16"/>
        </w:rPr>
      </w:pPr>
      <w:r w:rsidRPr="00BE7AD2">
        <w:rPr>
          <w:b/>
          <w:sz w:val="16"/>
          <w:szCs w:val="16"/>
        </w:rPr>
        <w:t>3.4.</w:t>
      </w:r>
      <w:r w:rsidR="00F24D2F">
        <w:rPr>
          <w:b/>
          <w:sz w:val="16"/>
          <w:szCs w:val="16"/>
        </w:rPr>
        <w:t>1.</w:t>
      </w:r>
      <w:r w:rsidRPr="00BE7AD2">
        <w:rPr>
          <w:b/>
          <w:sz w:val="16"/>
          <w:szCs w:val="16"/>
        </w:rPr>
        <w:t>4</w:t>
      </w:r>
      <w:r w:rsidR="00E23C8A" w:rsidRPr="00BE7AD2">
        <w:rPr>
          <w:b/>
          <w:sz w:val="16"/>
          <w:szCs w:val="16"/>
        </w:rPr>
        <w:t>.</w:t>
      </w:r>
      <w:r w:rsidRPr="00BE7AD2">
        <w:rPr>
          <w:b/>
          <w:sz w:val="16"/>
          <w:szCs w:val="16"/>
        </w:rPr>
        <w:t>6.</w:t>
      </w:r>
      <w:r w:rsidR="00E23C8A" w:rsidRPr="00BE7AD2">
        <w:rPr>
          <w:b/>
          <w:sz w:val="16"/>
          <w:szCs w:val="16"/>
        </w:rPr>
        <w:t>4. La idoneidad técnica de las políticas contables y de valoración de los vehículos</w:t>
      </w:r>
      <w:r w:rsidR="0032035D">
        <w:rPr>
          <w:b/>
          <w:sz w:val="16"/>
          <w:szCs w:val="16"/>
        </w:rPr>
        <w:t>,</w:t>
      </w:r>
      <w:r w:rsidR="00E23C8A" w:rsidRPr="00BE7AD2">
        <w:rPr>
          <w:b/>
          <w:sz w:val="16"/>
          <w:szCs w:val="16"/>
        </w:rPr>
        <w:t xml:space="preserve"> y su ajuste a la naturaleza y realidad económica del activo.</w:t>
      </w:r>
    </w:p>
    <w:p w14:paraId="62E273DB" w14:textId="77777777" w:rsidR="00BE7AD2" w:rsidRPr="00BE7AD2" w:rsidRDefault="00BE7AD2" w:rsidP="00BE7AD2">
      <w:pPr>
        <w:pStyle w:val="Prrafodelista"/>
        <w:pBdr>
          <w:left w:val="single" w:sz="4" w:space="4" w:color="auto"/>
        </w:pBdr>
        <w:ind w:left="0"/>
        <w:jc w:val="both"/>
        <w:rPr>
          <w:b/>
          <w:sz w:val="16"/>
          <w:szCs w:val="16"/>
        </w:rPr>
      </w:pPr>
    </w:p>
    <w:p w14:paraId="47944157" w14:textId="3AE8BCAB" w:rsidR="00BE7AD2" w:rsidRPr="00BE7AD2" w:rsidRDefault="005F1E76" w:rsidP="00BE7AD2">
      <w:pPr>
        <w:pStyle w:val="Prrafodelista"/>
        <w:pBdr>
          <w:left w:val="single" w:sz="4" w:space="4" w:color="auto"/>
        </w:pBdr>
        <w:ind w:left="0"/>
        <w:jc w:val="both"/>
        <w:rPr>
          <w:b/>
          <w:sz w:val="16"/>
          <w:szCs w:val="16"/>
        </w:rPr>
      </w:pPr>
      <w:r w:rsidRPr="00BE7AD2">
        <w:rPr>
          <w:b/>
          <w:sz w:val="16"/>
          <w:szCs w:val="16"/>
        </w:rPr>
        <w:t>3.4.</w:t>
      </w:r>
      <w:r w:rsidR="00F24D2F">
        <w:rPr>
          <w:b/>
          <w:sz w:val="16"/>
          <w:szCs w:val="16"/>
        </w:rPr>
        <w:t>1.</w:t>
      </w:r>
      <w:r w:rsidRPr="00BE7AD2">
        <w:rPr>
          <w:b/>
          <w:sz w:val="16"/>
          <w:szCs w:val="16"/>
        </w:rPr>
        <w:t>4</w:t>
      </w:r>
      <w:r w:rsidR="001463B8" w:rsidRPr="00BE7AD2">
        <w:rPr>
          <w:b/>
          <w:sz w:val="16"/>
          <w:szCs w:val="16"/>
        </w:rPr>
        <w:t>.6</w:t>
      </w:r>
      <w:r w:rsidR="00E23C8A" w:rsidRPr="00BE7AD2">
        <w:rPr>
          <w:b/>
          <w:sz w:val="16"/>
          <w:szCs w:val="16"/>
        </w:rPr>
        <w:t xml:space="preserve">.5. La estructura de comisiones y políticas de remuneración del vehículo. </w:t>
      </w:r>
    </w:p>
    <w:p w14:paraId="72F177B1" w14:textId="77777777" w:rsidR="00BE7AD2" w:rsidRPr="00BE7AD2" w:rsidRDefault="00BE7AD2" w:rsidP="00BE7AD2">
      <w:pPr>
        <w:pStyle w:val="Prrafodelista"/>
        <w:pBdr>
          <w:left w:val="single" w:sz="4" w:space="4" w:color="auto"/>
        </w:pBdr>
        <w:ind w:left="0"/>
        <w:jc w:val="both"/>
        <w:rPr>
          <w:b/>
          <w:sz w:val="16"/>
          <w:szCs w:val="16"/>
        </w:rPr>
      </w:pPr>
    </w:p>
    <w:p w14:paraId="0A078E11" w14:textId="03507B12" w:rsidR="00BE7AD2" w:rsidRPr="00BE7AD2" w:rsidRDefault="001463B8" w:rsidP="00BE7AD2">
      <w:pPr>
        <w:pStyle w:val="Prrafodelista"/>
        <w:pBdr>
          <w:left w:val="single" w:sz="4" w:space="4" w:color="auto"/>
        </w:pBdr>
        <w:ind w:left="0"/>
        <w:jc w:val="both"/>
        <w:rPr>
          <w:b/>
          <w:sz w:val="16"/>
          <w:szCs w:val="16"/>
        </w:rPr>
      </w:pPr>
      <w:r w:rsidRPr="00BE7AD2">
        <w:rPr>
          <w:b/>
          <w:sz w:val="16"/>
          <w:szCs w:val="16"/>
        </w:rPr>
        <w:t>3</w:t>
      </w:r>
      <w:r w:rsidR="00E23C8A" w:rsidRPr="00BE7AD2">
        <w:rPr>
          <w:b/>
          <w:sz w:val="16"/>
          <w:szCs w:val="16"/>
        </w:rPr>
        <w:t>.</w:t>
      </w:r>
      <w:r w:rsidRPr="00BE7AD2">
        <w:rPr>
          <w:b/>
          <w:sz w:val="16"/>
          <w:szCs w:val="16"/>
        </w:rPr>
        <w:t>4.</w:t>
      </w:r>
      <w:r w:rsidR="00F24D2F">
        <w:rPr>
          <w:b/>
          <w:sz w:val="16"/>
          <w:szCs w:val="16"/>
        </w:rPr>
        <w:t>1.</w:t>
      </w:r>
      <w:r w:rsidRPr="00BE7AD2">
        <w:rPr>
          <w:b/>
          <w:sz w:val="16"/>
          <w:szCs w:val="16"/>
        </w:rPr>
        <w:t>4.</w:t>
      </w:r>
      <w:r w:rsidR="00EE3A21" w:rsidRPr="00BE7AD2">
        <w:rPr>
          <w:b/>
          <w:sz w:val="16"/>
          <w:szCs w:val="16"/>
        </w:rPr>
        <w:t>6.</w:t>
      </w:r>
      <w:r w:rsidR="00E23C8A" w:rsidRPr="00BE7AD2">
        <w:rPr>
          <w:b/>
          <w:sz w:val="16"/>
          <w:szCs w:val="16"/>
        </w:rPr>
        <w:t>6. Los estándares de revelación de información del vehículo, el gestor, y la sociedad administradora, incluyendo los estándares de aseguramiento de la información aplicables.</w:t>
      </w:r>
    </w:p>
    <w:p w14:paraId="22BDD227" w14:textId="77777777" w:rsidR="00AC54DE" w:rsidRPr="00E23C8A" w:rsidRDefault="00AC54DE" w:rsidP="00AC54DE">
      <w:pPr>
        <w:pStyle w:val="Prrafodelista"/>
        <w:pBdr>
          <w:left w:val="single" w:sz="4" w:space="4" w:color="auto"/>
        </w:pBdr>
        <w:ind w:left="0"/>
        <w:jc w:val="both"/>
        <w:rPr>
          <w:rFonts w:cs="Arial"/>
          <w:b/>
          <w:sz w:val="16"/>
          <w:szCs w:val="16"/>
        </w:rPr>
      </w:pPr>
    </w:p>
    <w:p w14:paraId="6733F902" w14:textId="054FCF08" w:rsidR="00AC54DE" w:rsidRPr="00AC54DE" w:rsidRDefault="55BAA17D" w:rsidP="00AC54DE">
      <w:pPr>
        <w:pStyle w:val="Prrafodelista"/>
        <w:pBdr>
          <w:left w:val="single" w:sz="4" w:space="4" w:color="auto"/>
        </w:pBdr>
        <w:ind w:left="0"/>
        <w:jc w:val="both"/>
        <w:rPr>
          <w:rFonts w:cs="Arial"/>
          <w:b/>
          <w:sz w:val="16"/>
          <w:szCs w:val="16"/>
          <w:lang w:val="es-CO"/>
        </w:rPr>
      </w:pPr>
      <w:r w:rsidRPr="4364E219">
        <w:rPr>
          <w:rFonts w:cs="Arial"/>
          <w:b/>
          <w:bCs/>
          <w:sz w:val="16"/>
          <w:szCs w:val="16"/>
          <w:lang w:val="es-CO"/>
        </w:rPr>
        <w:t>3.</w:t>
      </w:r>
      <w:r w:rsidRPr="4403E874">
        <w:rPr>
          <w:rFonts w:cs="Arial"/>
          <w:b/>
          <w:bCs/>
          <w:sz w:val="16"/>
          <w:szCs w:val="16"/>
          <w:lang w:val="es-CO"/>
        </w:rPr>
        <w:t>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5. Procedimiento a seguir en el evento en que se presenten excesos o defectos en los límites de inversión, tanto internos como legales.</w:t>
      </w:r>
    </w:p>
    <w:p w14:paraId="4FE4AF92"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33058D2" w14:textId="0A2FBA9A" w:rsidR="00AC54DE" w:rsidRPr="00AC54DE" w:rsidRDefault="30C0C02C" w:rsidP="00AC54DE">
      <w:pPr>
        <w:pStyle w:val="Prrafodelista"/>
        <w:pBdr>
          <w:left w:val="single" w:sz="4" w:space="4" w:color="auto"/>
        </w:pBdr>
        <w:ind w:left="0"/>
        <w:jc w:val="both"/>
        <w:rPr>
          <w:rFonts w:cs="Arial"/>
          <w:b/>
          <w:sz w:val="16"/>
          <w:szCs w:val="16"/>
          <w:lang w:val="es-CO"/>
        </w:rPr>
      </w:pPr>
      <w:r w:rsidRPr="4403E874">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6. Procedimiento para evaluar el desempeño en la gestión de las inversiones, en donde se indique por lo menos:</w:t>
      </w:r>
    </w:p>
    <w:p w14:paraId="40CC2F87"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74483391" w14:textId="487155E8" w:rsidR="00AC54DE" w:rsidRPr="00AC54DE" w:rsidRDefault="11248302" w:rsidP="00AC54DE">
      <w:pPr>
        <w:pStyle w:val="Prrafodelista"/>
        <w:pBdr>
          <w:left w:val="single" w:sz="4" w:space="4" w:color="auto"/>
        </w:pBdr>
        <w:ind w:left="0"/>
        <w:jc w:val="both"/>
        <w:rPr>
          <w:rFonts w:cs="Arial"/>
          <w:b/>
          <w:sz w:val="16"/>
          <w:szCs w:val="16"/>
          <w:lang w:val="es-CO"/>
        </w:rPr>
      </w:pPr>
      <w:r w:rsidRPr="4403E874">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6.1. Descripción de los indicadores a utilizar.</w:t>
      </w:r>
    </w:p>
    <w:p w14:paraId="10EF469A" w14:textId="047D5AB7" w:rsidR="00AC54DE" w:rsidRPr="00AC54DE" w:rsidRDefault="6127521E" w:rsidP="00AC54DE">
      <w:pPr>
        <w:pStyle w:val="Prrafodelista"/>
        <w:pBdr>
          <w:left w:val="single" w:sz="4" w:space="4" w:color="auto"/>
        </w:pBdr>
        <w:ind w:left="0"/>
        <w:jc w:val="both"/>
        <w:rPr>
          <w:rFonts w:cs="Arial"/>
          <w:b/>
          <w:sz w:val="16"/>
          <w:szCs w:val="16"/>
          <w:lang w:val="es-CO"/>
        </w:rPr>
      </w:pPr>
      <w:r w:rsidRPr="66802942">
        <w:rPr>
          <w:rFonts w:cs="Arial"/>
          <w:b/>
          <w:bCs/>
          <w:sz w:val="16"/>
          <w:szCs w:val="16"/>
          <w:lang w:val="es-CO"/>
        </w:rPr>
        <w:t>3.4.</w:t>
      </w:r>
      <w:r w:rsidR="00F24D2F">
        <w:rPr>
          <w:rFonts w:cs="Arial"/>
          <w:b/>
          <w:bCs/>
          <w:sz w:val="16"/>
          <w:szCs w:val="16"/>
          <w:lang w:val="es-CO"/>
        </w:rPr>
        <w:t>1.</w:t>
      </w:r>
      <w:r w:rsidR="00AC54DE" w:rsidRPr="00AC54DE">
        <w:rPr>
          <w:rFonts w:cs="Arial"/>
          <w:b/>
          <w:sz w:val="16"/>
          <w:szCs w:val="16"/>
          <w:lang w:val="es-CO"/>
        </w:rPr>
        <w:t>6.2. Periodicidad de evaluación.</w:t>
      </w:r>
    </w:p>
    <w:p w14:paraId="46743E6A" w14:textId="23200DFE"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230151EE" w:rsidRPr="5078FC09">
        <w:rPr>
          <w:rFonts w:cs="Arial"/>
          <w:b/>
          <w:bCs/>
          <w:sz w:val="16"/>
          <w:szCs w:val="16"/>
          <w:lang w:val="es-CO"/>
        </w:rPr>
        <w:t>4.</w:t>
      </w:r>
      <w:r w:rsidR="00F24D2F">
        <w:rPr>
          <w:rFonts w:cs="Arial"/>
          <w:b/>
          <w:bCs/>
          <w:sz w:val="16"/>
          <w:szCs w:val="16"/>
          <w:lang w:val="es-CO"/>
        </w:rPr>
        <w:t>1.</w:t>
      </w:r>
      <w:r w:rsidR="230151EE" w:rsidRPr="5078FC09">
        <w:rPr>
          <w:rFonts w:cs="Arial"/>
          <w:b/>
          <w:bCs/>
          <w:sz w:val="16"/>
          <w:szCs w:val="16"/>
          <w:lang w:val="es-CO"/>
        </w:rPr>
        <w:t>6.3</w:t>
      </w:r>
      <w:r w:rsidRPr="5078FC09">
        <w:rPr>
          <w:rFonts w:cs="Arial"/>
          <w:b/>
          <w:bCs/>
          <w:sz w:val="16"/>
          <w:szCs w:val="16"/>
          <w:lang w:val="es-CO"/>
        </w:rPr>
        <w:t>.</w:t>
      </w:r>
      <w:r w:rsidRPr="00AC54DE">
        <w:rPr>
          <w:rFonts w:cs="Arial"/>
          <w:b/>
          <w:sz w:val="16"/>
          <w:szCs w:val="16"/>
          <w:lang w:val="es-CO"/>
        </w:rPr>
        <w:t xml:space="preserve"> Órgano</w:t>
      </w:r>
      <w:r w:rsidR="000762BA">
        <w:rPr>
          <w:rFonts w:cs="Arial"/>
          <w:b/>
          <w:sz w:val="16"/>
          <w:szCs w:val="16"/>
          <w:lang w:val="es-CO"/>
        </w:rPr>
        <w:t>s</w:t>
      </w:r>
      <w:r w:rsidRPr="00AC54DE">
        <w:rPr>
          <w:rFonts w:cs="Arial"/>
          <w:b/>
          <w:sz w:val="16"/>
          <w:szCs w:val="16"/>
          <w:lang w:val="es-CO"/>
        </w:rPr>
        <w:t xml:space="preserve"> o áreas encargadas de hacer seguimiento a dicha evaluación. </w:t>
      </w:r>
    </w:p>
    <w:p w14:paraId="748B3262" w14:textId="775DD743" w:rsidR="00AC54DE" w:rsidRPr="00AC54DE" w:rsidRDefault="26029329" w:rsidP="00AC54DE">
      <w:pPr>
        <w:pStyle w:val="Prrafodelista"/>
        <w:pBdr>
          <w:left w:val="single" w:sz="4" w:space="4" w:color="auto"/>
        </w:pBdr>
        <w:ind w:left="0"/>
        <w:jc w:val="both"/>
        <w:rPr>
          <w:rFonts w:cs="Arial"/>
          <w:b/>
          <w:sz w:val="16"/>
          <w:szCs w:val="16"/>
          <w:lang w:val="es-CO"/>
        </w:rPr>
      </w:pPr>
      <w:r w:rsidRPr="4BBAF3A2">
        <w:rPr>
          <w:rFonts w:cs="Arial"/>
          <w:b/>
          <w:bCs/>
          <w:sz w:val="16"/>
          <w:szCs w:val="16"/>
          <w:lang w:val="es-CO"/>
        </w:rPr>
        <w:t>3.</w:t>
      </w:r>
      <w:r w:rsidRPr="2538C4BD">
        <w:rPr>
          <w:rFonts w:cs="Arial"/>
          <w:b/>
          <w:bCs/>
          <w:sz w:val="16"/>
          <w:szCs w:val="16"/>
          <w:lang w:val="es-CO"/>
        </w:rPr>
        <w:t>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6.4. Órganos o áreas receptores de las evaluaciones.</w:t>
      </w:r>
    </w:p>
    <w:p w14:paraId="1B18DD8E"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3F83F1E" w14:textId="46C41E7C" w:rsidR="00AC54DE" w:rsidRPr="00AC54DE" w:rsidRDefault="58A258F4" w:rsidP="00AC54DE">
      <w:pPr>
        <w:pStyle w:val="Prrafodelista"/>
        <w:pBdr>
          <w:left w:val="single" w:sz="4" w:space="4" w:color="auto"/>
        </w:pBdr>
        <w:ind w:left="0"/>
        <w:jc w:val="both"/>
        <w:rPr>
          <w:rFonts w:cs="Arial"/>
          <w:b/>
          <w:sz w:val="16"/>
          <w:szCs w:val="16"/>
          <w:lang w:val="es-CO"/>
        </w:rPr>
      </w:pPr>
      <w:r w:rsidRPr="2538C4BD">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7. Condiciones profesionales exigidas al personal interno o externo relacionadas con el área de inversiones.</w:t>
      </w:r>
    </w:p>
    <w:p w14:paraId="059A3406"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52CF76C" w14:textId="72C1403C" w:rsidR="00207BFD" w:rsidRPr="00117B39" w:rsidRDefault="7548099F" w:rsidP="00AC54DE">
      <w:pPr>
        <w:pStyle w:val="Prrafodelista"/>
        <w:pBdr>
          <w:left w:val="single" w:sz="4" w:space="4" w:color="auto"/>
        </w:pBdr>
        <w:ind w:left="0"/>
        <w:jc w:val="both"/>
        <w:rPr>
          <w:rFonts w:cs="Arial"/>
          <w:b/>
          <w:sz w:val="16"/>
          <w:szCs w:val="16"/>
          <w:lang w:val="es-CO"/>
        </w:rPr>
      </w:pPr>
      <w:r w:rsidRPr="7D596371">
        <w:rPr>
          <w:rFonts w:cs="Arial"/>
          <w:b/>
          <w:bCs/>
          <w:sz w:val="16"/>
          <w:szCs w:val="16"/>
          <w:lang w:val="es-CO"/>
        </w:rPr>
        <w:t>3.4</w:t>
      </w:r>
      <w:r w:rsidR="00AC54DE" w:rsidRPr="00AC54DE">
        <w:rPr>
          <w:rFonts w:cs="Arial"/>
          <w:b/>
          <w:sz w:val="16"/>
          <w:szCs w:val="16"/>
          <w:lang w:val="es-CO"/>
        </w:rPr>
        <w:t>.</w:t>
      </w:r>
      <w:r w:rsidR="00F24D2F">
        <w:rPr>
          <w:rFonts w:cs="Arial"/>
          <w:b/>
          <w:sz w:val="16"/>
          <w:szCs w:val="16"/>
          <w:lang w:val="es-CO"/>
        </w:rPr>
        <w:t>1.</w:t>
      </w:r>
      <w:r w:rsidR="00AC54DE" w:rsidRPr="00AC54DE">
        <w:rPr>
          <w:rFonts w:cs="Arial"/>
          <w:b/>
          <w:sz w:val="16"/>
          <w:szCs w:val="16"/>
          <w:lang w:val="es-CO"/>
        </w:rPr>
        <w:t xml:space="preserve">8. </w:t>
      </w:r>
      <w:r w:rsidR="00207BFD" w:rsidRPr="00117B39">
        <w:rPr>
          <w:rFonts w:cs="Arial"/>
          <w:b/>
          <w:sz w:val="16"/>
          <w:szCs w:val="16"/>
          <w:lang w:val="es-CO"/>
        </w:rPr>
        <w:t xml:space="preserve">Descripción general de los riesgos a los que se encuentra expuesto el portafolio de inversiones. </w:t>
      </w:r>
      <w:r w:rsidR="00DA1F45" w:rsidRPr="00117B39">
        <w:rPr>
          <w:rFonts w:cs="Arial"/>
          <w:b/>
          <w:sz w:val="16"/>
          <w:szCs w:val="16"/>
        </w:rPr>
        <w:t xml:space="preserve">Las </w:t>
      </w:r>
      <w:r w:rsidR="00402DE6" w:rsidRPr="00117B39">
        <w:rPr>
          <w:rFonts w:cs="Arial"/>
          <w:b/>
          <w:sz w:val="16"/>
          <w:szCs w:val="16"/>
        </w:rPr>
        <w:t xml:space="preserve">sociedades de capitalización </w:t>
      </w:r>
      <w:r w:rsidR="00DA1F45" w:rsidRPr="00117B39">
        <w:rPr>
          <w:rFonts w:cs="Arial"/>
          <w:b/>
          <w:sz w:val="16"/>
          <w:szCs w:val="16"/>
        </w:rPr>
        <w:t xml:space="preserve">deben mencionar en su política de inversión si incluirán la evaluación de los </w:t>
      </w:r>
      <w:r w:rsidR="00F24D2F" w:rsidRPr="00A70653">
        <w:rPr>
          <w:rFonts w:cs="Arial"/>
          <w:b/>
          <w:bCs/>
          <w:sz w:val="16"/>
          <w:szCs w:val="16"/>
        </w:rPr>
        <w:t>asuntos ambientales, sociales y de gobierno corporativo</w:t>
      </w:r>
      <w:r w:rsidR="00DA1F45" w:rsidRPr="00117B39">
        <w:rPr>
          <w:rFonts w:cs="Arial"/>
          <w:b/>
          <w:sz w:val="16"/>
          <w:szCs w:val="16"/>
        </w:rPr>
        <w:t xml:space="preserve"> </w:t>
      </w:r>
      <w:r w:rsidR="00F24D2F">
        <w:rPr>
          <w:rFonts w:cs="Arial"/>
          <w:b/>
          <w:sz w:val="16"/>
          <w:szCs w:val="16"/>
        </w:rPr>
        <w:t>(ASG)</w:t>
      </w:r>
      <w:r w:rsidR="00F24D2F" w:rsidRPr="00117B39">
        <w:rPr>
          <w:rFonts w:cs="Arial"/>
          <w:b/>
          <w:sz w:val="16"/>
          <w:szCs w:val="16"/>
        </w:rPr>
        <w:t xml:space="preserve"> </w:t>
      </w:r>
      <w:r w:rsidR="00DA1F45" w:rsidRPr="00117B39">
        <w:rPr>
          <w:rFonts w:cs="Arial"/>
          <w:b/>
          <w:sz w:val="16"/>
          <w:szCs w:val="16"/>
        </w:rPr>
        <w:t>y climático, o los motivos por los cuales se prescinde de la mención.</w:t>
      </w:r>
    </w:p>
    <w:p w14:paraId="6C0E8770" w14:textId="77777777" w:rsidR="00207BFD" w:rsidRPr="00117B39" w:rsidRDefault="00207BFD" w:rsidP="00AC54DE">
      <w:pPr>
        <w:pStyle w:val="Prrafodelista"/>
        <w:pBdr>
          <w:left w:val="single" w:sz="4" w:space="4" w:color="auto"/>
        </w:pBdr>
        <w:ind w:left="0"/>
        <w:jc w:val="both"/>
        <w:rPr>
          <w:rFonts w:cs="Arial"/>
          <w:b/>
          <w:sz w:val="16"/>
          <w:szCs w:val="16"/>
          <w:lang w:val="es-CO"/>
        </w:rPr>
      </w:pPr>
    </w:p>
    <w:p w14:paraId="07CA80A8" w14:textId="7ACA3AED" w:rsidR="00AC54DE" w:rsidRPr="00117B39" w:rsidRDefault="7901565F" w:rsidP="00AC54DE">
      <w:pPr>
        <w:pStyle w:val="Prrafodelista"/>
        <w:pBdr>
          <w:left w:val="single" w:sz="4" w:space="4" w:color="auto"/>
        </w:pBdr>
        <w:ind w:left="0"/>
        <w:jc w:val="both"/>
        <w:rPr>
          <w:rFonts w:cs="Arial"/>
          <w:b/>
          <w:sz w:val="16"/>
          <w:szCs w:val="16"/>
          <w:lang w:val="es-CO"/>
        </w:rPr>
      </w:pPr>
      <w:r w:rsidRPr="00117B39">
        <w:rPr>
          <w:rFonts w:cs="Arial"/>
          <w:b/>
          <w:sz w:val="16"/>
          <w:szCs w:val="16"/>
          <w:lang w:val="es-CO"/>
        </w:rPr>
        <w:t>3.4</w:t>
      </w:r>
      <w:r w:rsidR="00207BFD" w:rsidRPr="00117B39">
        <w:rPr>
          <w:rFonts w:cs="Arial"/>
          <w:b/>
          <w:sz w:val="16"/>
          <w:szCs w:val="16"/>
          <w:lang w:val="es-CO"/>
        </w:rPr>
        <w:t>.</w:t>
      </w:r>
      <w:r w:rsidR="00F24D2F">
        <w:rPr>
          <w:rFonts w:cs="Arial"/>
          <w:b/>
          <w:sz w:val="16"/>
          <w:szCs w:val="16"/>
          <w:lang w:val="es-CO"/>
        </w:rPr>
        <w:t>1.</w:t>
      </w:r>
      <w:r w:rsidR="00207BFD" w:rsidRPr="00117B39">
        <w:rPr>
          <w:rFonts w:cs="Arial"/>
          <w:b/>
          <w:sz w:val="16"/>
          <w:szCs w:val="16"/>
          <w:lang w:val="es-CO"/>
        </w:rPr>
        <w:t xml:space="preserve">9. </w:t>
      </w:r>
      <w:r w:rsidR="00AC54DE" w:rsidRPr="00117B39">
        <w:rPr>
          <w:rFonts w:cs="Arial"/>
          <w:b/>
          <w:sz w:val="16"/>
          <w:szCs w:val="16"/>
          <w:lang w:val="es-CO"/>
        </w:rPr>
        <w:t xml:space="preserve">Políticas en la administración o gestión de riesgos a los que se encuentra expuesto el portafolio de inversiones. </w:t>
      </w:r>
      <w:r w:rsidR="0041245D" w:rsidRPr="00117B39">
        <w:rPr>
          <w:rFonts w:cs="Arial"/>
          <w:b/>
          <w:sz w:val="16"/>
          <w:szCs w:val="16"/>
        </w:rPr>
        <w:t xml:space="preserve">Las sociedades de capitalización deben mencionar en su política de inversión si incluirán la evaluación de los riesgos </w:t>
      </w:r>
      <w:r w:rsidR="00F24D2F">
        <w:rPr>
          <w:rFonts w:cs="Arial"/>
          <w:b/>
          <w:sz w:val="16"/>
          <w:szCs w:val="16"/>
        </w:rPr>
        <w:t>ASG</w:t>
      </w:r>
      <w:r w:rsidR="00F24D2F" w:rsidRPr="00117B39">
        <w:rPr>
          <w:rFonts w:cs="Arial"/>
          <w:b/>
          <w:sz w:val="16"/>
          <w:szCs w:val="16"/>
        </w:rPr>
        <w:t xml:space="preserve"> </w:t>
      </w:r>
      <w:r w:rsidR="0041245D" w:rsidRPr="00117B39">
        <w:rPr>
          <w:rFonts w:cs="Arial"/>
          <w:b/>
          <w:sz w:val="16"/>
          <w:szCs w:val="16"/>
        </w:rPr>
        <w:t>y climático, o los motivos por los cuales se prescinde de la mención.</w:t>
      </w:r>
    </w:p>
    <w:p w14:paraId="24B17812"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4758037C" w14:textId="5B6AB622" w:rsidR="00AC54DE" w:rsidRPr="00AC54DE" w:rsidRDefault="7C6143ED" w:rsidP="00AC54DE">
      <w:pPr>
        <w:pStyle w:val="Prrafodelista"/>
        <w:pBdr>
          <w:left w:val="single" w:sz="4" w:space="4" w:color="auto"/>
        </w:pBdr>
        <w:ind w:left="0"/>
        <w:jc w:val="both"/>
        <w:rPr>
          <w:rFonts w:cs="Arial"/>
          <w:b/>
          <w:sz w:val="16"/>
          <w:szCs w:val="16"/>
          <w:lang w:val="es-CO"/>
        </w:rPr>
      </w:pPr>
      <w:r w:rsidRPr="7D596371">
        <w:rPr>
          <w:rFonts w:cs="Arial"/>
          <w:b/>
          <w:bCs/>
          <w:sz w:val="16"/>
          <w:szCs w:val="16"/>
          <w:lang w:val="es-CO"/>
        </w:rPr>
        <w:t>3.4.</w:t>
      </w:r>
      <w:r w:rsidR="00F24D2F">
        <w:rPr>
          <w:rFonts w:cs="Arial"/>
          <w:b/>
          <w:sz w:val="16"/>
          <w:szCs w:val="16"/>
          <w:lang w:val="es-CO"/>
        </w:rPr>
        <w:t>1.</w:t>
      </w:r>
      <w:r w:rsidRPr="7D596371">
        <w:rPr>
          <w:rFonts w:cs="Arial"/>
          <w:b/>
          <w:bCs/>
          <w:sz w:val="16"/>
          <w:szCs w:val="16"/>
          <w:lang w:val="es-CO"/>
        </w:rPr>
        <w:t>10</w:t>
      </w:r>
      <w:r w:rsidR="00AC54DE" w:rsidRPr="7D596371">
        <w:rPr>
          <w:rFonts w:cs="Arial"/>
          <w:b/>
          <w:bCs/>
          <w:sz w:val="16"/>
          <w:szCs w:val="16"/>
          <w:lang w:val="es-CO"/>
        </w:rPr>
        <w:t>.</w:t>
      </w:r>
      <w:r w:rsidR="00AC54DE" w:rsidRPr="00AC54DE">
        <w:rPr>
          <w:rFonts w:cs="Arial"/>
          <w:b/>
          <w:sz w:val="16"/>
          <w:szCs w:val="16"/>
          <w:lang w:val="es-CO"/>
        </w:rPr>
        <w:t xml:space="preserve"> Mecanismos de identificación, medición, control y monitoreo de cada uno de los riesgos, en donde se indique por lo menos:</w:t>
      </w:r>
    </w:p>
    <w:p w14:paraId="168A87B0"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5B842408" w14:textId="75AE8252" w:rsidR="00AC54DE" w:rsidRPr="00AC54DE" w:rsidRDefault="16DDDD17" w:rsidP="00AC54DE">
      <w:pPr>
        <w:pStyle w:val="Prrafodelista"/>
        <w:pBdr>
          <w:left w:val="single" w:sz="4" w:space="4" w:color="auto"/>
        </w:pBdr>
        <w:ind w:left="0"/>
        <w:jc w:val="both"/>
        <w:rPr>
          <w:rFonts w:cs="Arial"/>
          <w:b/>
          <w:sz w:val="16"/>
          <w:szCs w:val="16"/>
          <w:lang w:val="es-CO"/>
        </w:rPr>
      </w:pPr>
      <w:r w:rsidRPr="2F43BA9C">
        <w:rPr>
          <w:rFonts w:cs="Arial"/>
          <w:b/>
          <w:bCs/>
          <w:sz w:val="16"/>
          <w:szCs w:val="16"/>
          <w:lang w:val="es-CO"/>
        </w:rPr>
        <w:t>3.4.</w:t>
      </w:r>
      <w:r w:rsidR="00F24D2F">
        <w:rPr>
          <w:rFonts w:cs="Arial"/>
          <w:b/>
          <w:bCs/>
          <w:sz w:val="16"/>
          <w:szCs w:val="16"/>
          <w:lang w:val="es-CO"/>
        </w:rPr>
        <w:t>1.</w:t>
      </w:r>
      <w:r w:rsidRPr="2F43BA9C">
        <w:rPr>
          <w:rFonts w:cs="Arial"/>
          <w:b/>
          <w:bCs/>
          <w:sz w:val="16"/>
          <w:szCs w:val="16"/>
          <w:lang w:val="es-CO"/>
        </w:rPr>
        <w:t>10.</w:t>
      </w:r>
      <w:r w:rsidR="00AC54DE" w:rsidRPr="00AC54DE">
        <w:rPr>
          <w:rFonts w:cs="Arial"/>
          <w:b/>
          <w:sz w:val="16"/>
          <w:szCs w:val="16"/>
          <w:lang w:val="es-CO"/>
        </w:rPr>
        <w:t>1. Métodos de medición y control.</w:t>
      </w:r>
    </w:p>
    <w:p w14:paraId="7767307A" w14:textId="6CD4E8DA" w:rsidR="00AC54DE" w:rsidRPr="00AC54DE" w:rsidRDefault="102E03D8" w:rsidP="00AC54DE">
      <w:pPr>
        <w:pStyle w:val="Prrafodelista"/>
        <w:pBdr>
          <w:left w:val="single" w:sz="4" w:space="4" w:color="auto"/>
        </w:pBdr>
        <w:ind w:left="0"/>
        <w:jc w:val="both"/>
        <w:rPr>
          <w:rFonts w:cs="Arial"/>
          <w:b/>
          <w:sz w:val="16"/>
          <w:szCs w:val="16"/>
          <w:lang w:val="es-CO"/>
        </w:rPr>
      </w:pPr>
      <w:r w:rsidRPr="2F43BA9C">
        <w:rPr>
          <w:rFonts w:cs="Arial"/>
          <w:b/>
          <w:bCs/>
          <w:sz w:val="16"/>
          <w:szCs w:val="16"/>
          <w:lang w:val="es-CO"/>
        </w:rPr>
        <w:t>3.4.</w:t>
      </w:r>
      <w:r w:rsidR="00F24D2F">
        <w:rPr>
          <w:rFonts w:cs="Arial"/>
          <w:b/>
          <w:bCs/>
          <w:sz w:val="16"/>
          <w:szCs w:val="16"/>
          <w:lang w:val="es-CO"/>
        </w:rPr>
        <w:t>1.</w:t>
      </w:r>
      <w:r w:rsidRPr="2F43BA9C">
        <w:rPr>
          <w:rFonts w:cs="Arial"/>
          <w:b/>
          <w:bCs/>
          <w:sz w:val="16"/>
          <w:szCs w:val="16"/>
          <w:lang w:val="es-CO"/>
        </w:rPr>
        <w:t>10.</w:t>
      </w:r>
      <w:r w:rsidR="00AC54DE" w:rsidRPr="00AC54DE">
        <w:rPr>
          <w:rFonts w:cs="Arial"/>
          <w:b/>
          <w:sz w:val="16"/>
          <w:szCs w:val="16"/>
          <w:lang w:val="es-CO"/>
        </w:rPr>
        <w:t xml:space="preserve">2. Mecanismos de monitoreo. </w:t>
      </w:r>
    </w:p>
    <w:p w14:paraId="4CBBB5E6" w14:textId="77EFB6C4"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4F75709C" w:rsidRPr="2A85B235">
        <w:rPr>
          <w:rFonts w:cs="Arial"/>
          <w:b/>
          <w:bCs/>
          <w:sz w:val="16"/>
          <w:szCs w:val="16"/>
          <w:lang w:val="es-CO"/>
        </w:rPr>
        <w:t>4.</w:t>
      </w:r>
      <w:r w:rsidR="00F24D2F">
        <w:rPr>
          <w:rFonts w:cs="Arial"/>
          <w:b/>
          <w:bCs/>
          <w:sz w:val="16"/>
          <w:szCs w:val="16"/>
          <w:lang w:val="es-CO"/>
        </w:rPr>
        <w:t>1.</w:t>
      </w:r>
      <w:r w:rsidR="4F75709C" w:rsidRPr="2A85B235">
        <w:rPr>
          <w:rFonts w:cs="Arial"/>
          <w:b/>
          <w:bCs/>
          <w:sz w:val="16"/>
          <w:szCs w:val="16"/>
          <w:lang w:val="es-CO"/>
        </w:rPr>
        <w:t>10.</w:t>
      </w:r>
      <w:r w:rsidRPr="2A85B235">
        <w:rPr>
          <w:rFonts w:cs="Arial"/>
          <w:b/>
          <w:bCs/>
          <w:sz w:val="16"/>
          <w:szCs w:val="16"/>
          <w:lang w:val="es-CO"/>
        </w:rPr>
        <w:t>3.</w:t>
      </w:r>
      <w:r w:rsidRPr="00AC54DE">
        <w:rPr>
          <w:rFonts w:cs="Arial"/>
          <w:b/>
          <w:sz w:val="16"/>
          <w:szCs w:val="16"/>
          <w:lang w:val="es-CO"/>
        </w:rPr>
        <w:t xml:space="preserve"> Periodicidad de control.</w:t>
      </w:r>
    </w:p>
    <w:p w14:paraId="583E22E0" w14:textId="33D55D98" w:rsidR="00AC54DE" w:rsidRPr="00AC54DE" w:rsidRDefault="198071FF" w:rsidP="00AC54DE">
      <w:pPr>
        <w:pStyle w:val="Prrafodelista"/>
        <w:pBdr>
          <w:left w:val="single" w:sz="4" w:space="4" w:color="auto"/>
        </w:pBdr>
        <w:ind w:left="0"/>
        <w:jc w:val="both"/>
        <w:rPr>
          <w:rFonts w:cs="Arial"/>
          <w:b/>
          <w:sz w:val="16"/>
          <w:szCs w:val="16"/>
          <w:lang w:val="es-CO"/>
        </w:rPr>
      </w:pPr>
      <w:r w:rsidRPr="2F8FA1F7">
        <w:rPr>
          <w:rFonts w:cs="Arial"/>
          <w:b/>
          <w:bCs/>
          <w:sz w:val="16"/>
          <w:szCs w:val="16"/>
          <w:lang w:val="es-CO"/>
        </w:rPr>
        <w:t>3</w:t>
      </w:r>
      <w:r w:rsidR="00AC54DE" w:rsidRPr="00AC54DE">
        <w:rPr>
          <w:rFonts w:cs="Arial"/>
          <w:b/>
          <w:sz w:val="16"/>
          <w:szCs w:val="16"/>
          <w:lang w:val="es-CO"/>
        </w:rPr>
        <w:t>.4.</w:t>
      </w:r>
      <w:r w:rsidR="00F24D2F">
        <w:rPr>
          <w:rFonts w:cs="Arial"/>
          <w:b/>
          <w:sz w:val="16"/>
          <w:szCs w:val="16"/>
          <w:lang w:val="es-CO"/>
        </w:rPr>
        <w:t>1.</w:t>
      </w:r>
      <w:r w:rsidRPr="2F8FA1F7">
        <w:rPr>
          <w:rFonts w:cs="Arial"/>
          <w:b/>
          <w:bCs/>
          <w:sz w:val="16"/>
          <w:szCs w:val="16"/>
          <w:lang w:val="es-CO"/>
        </w:rPr>
        <w:t>10.</w:t>
      </w:r>
      <w:r w:rsidR="00AC54DE" w:rsidRPr="2F8FA1F7">
        <w:rPr>
          <w:rFonts w:cs="Arial"/>
          <w:b/>
          <w:bCs/>
          <w:sz w:val="16"/>
          <w:szCs w:val="16"/>
          <w:lang w:val="es-CO"/>
        </w:rPr>
        <w:t>4.</w:t>
      </w:r>
      <w:r w:rsidR="00AC54DE" w:rsidRPr="00AC54DE">
        <w:rPr>
          <w:rFonts w:cs="Arial"/>
          <w:b/>
          <w:sz w:val="16"/>
          <w:szCs w:val="16"/>
          <w:lang w:val="es-CO"/>
        </w:rPr>
        <w:t xml:space="preserve"> Órganos receptores de los resultados de medición y control.</w:t>
      </w:r>
    </w:p>
    <w:p w14:paraId="62CCE1E9" w14:textId="598ED038" w:rsidR="00AC54DE" w:rsidRPr="00AC54DE" w:rsidRDefault="7D6E877C" w:rsidP="00AC54DE">
      <w:pPr>
        <w:pStyle w:val="Prrafodelista"/>
        <w:pBdr>
          <w:left w:val="single" w:sz="4" w:space="4" w:color="auto"/>
        </w:pBdr>
        <w:ind w:left="0"/>
        <w:jc w:val="both"/>
        <w:rPr>
          <w:rFonts w:cs="Arial"/>
          <w:b/>
          <w:sz w:val="16"/>
          <w:szCs w:val="16"/>
          <w:lang w:val="es-CO"/>
        </w:rPr>
      </w:pPr>
      <w:r w:rsidRPr="2F8FA1F7">
        <w:rPr>
          <w:rFonts w:cs="Arial"/>
          <w:b/>
          <w:bCs/>
          <w:sz w:val="16"/>
          <w:szCs w:val="16"/>
          <w:lang w:val="es-CO"/>
        </w:rPr>
        <w:t>3.4.</w:t>
      </w:r>
      <w:r w:rsidR="00F24D2F">
        <w:rPr>
          <w:rFonts w:cs="Arial"/>
          <w:b/>
          <w:bCs/>
          <w:sz w:val="16"/>
          <w:szCs w:val="16"/>
          <w:lang w:val="es-CO"/>
        </w:rPr>
        <w:t>1.</w:t>
      </w:r>
      <w:r w:rsidRPr="2F8FA1F7">
        <w:rPr>
          <w:rFonts w:cs="Arial"/>
          <w:b/>
          <w:bCs/>
          <w:sz w:val="16"/>
          <w:szCs w:val="16"/>
          <w:lang w:val="es-CO"/>
        </w:rPr>
        <w:t>10.</w:t>
      </w:r>
      <w:r w:rsidR="00AC54DE" w:rsidRPr="2F8FA1F7">
        <w:rPr>
          <w:rFonts w:cs="Arial"/>
          <w:b/>
          <w:bCs/>
          <w:sz w:val="16"/>
          <w:szCs w:val="16"/>
          <w:lang w:val="es-CO"/>
        </w:rPr>
        <w:t>5.</w:t>
      </w:r>
      <w:r w:rsidR="00AC54DE" w:rsidRPr="00AC54DE">
        <w:rPr>
          <w:rFonts w:cs="Arial"/>
          <w:b/>
          <w:sz w:val="16"/>
          <w:szCs w:val="16"/>
          <w:lang w:val="es-CO"/>
        </w:rPr>
        <w:t xml:space="preserve"> Procedimientos a seguir en el evento en que se presente un exceso en la exposición a determinado riesgo.</w:t>
      </w:r>
    </w:p>
    <w:p w14:paraId="69038F1E" w14:textId="0A998846" w:rsidR="00AC54DE" w:rsidRPr="00AC54DE" w:rsidRDefault="6B035A02" w:rsidP="00AC54DE">
      <w:pPr>
        <w:pStyle w:val="Prrafodelista"/>
        <w:pBdr>
          <w:left w:val="single" w:sz="4" w:space="4" w:color="auto"/>
        </w:pBdr>
        <w:ind w:left="0"/>
        <w:jc w:val="both"/>
        <w:rPr>
          <w:rFonts w:cs="Arial"/>
          <w:b/>
          <w:sz w:val="16"/>
          <w:szCs w:val="16"/>
          <w:lang w:val="es-CO"/>
        </w:rPr>
      </w:pPr>
      <w:r w:rsidRPr="368E92D5">
        <w:rPr>
          <w:rFonts w:cs="Arial"/>
          <w:b/>
          <w:bCs/>
          <w:sz w:val="16"/>
          <w:szCs w:val="16"/>
          <w:lang w:val="es-CO"/>
        </w:rPr>
        <w:t>3.4.</w:t>
      </w:r>
      <w:r w:rsidR="00F24D2F">
        <w:rPr>
          <w:rFonts w:cs="Arial"/>
          <w:b/>
          <w:bCs/>
          <w:sz w:val="16"/>
          <w:szCs w:val="16"/>
          <w:lang w:val="es-CO"/>
        </w:rPr>
        <w:t>1.</w:t>
      </w:r>
      <w:r w:rsidRPr="368E92D5">
        <w:rPr>
          <w:rFonts w:cs="Arial"/>
          <w:b/>
          <w:bCs/>
          <w:sz w:val="16"/>
          <w:szCs w:val="16"/>
          <w:lang w:val="es-CO"/>
        </w:rPr>
        <w:t>10</w:t>
      </w:r>
      <w:r w:rsidR="00AC54DE" w:rsidRPr="00AC54DE">
        <w:rPr>
          <w:rFonts w:cs="Arial"/>
          <w:b/>
          <w:sz w:val="16"/>
          <w:szCs w:val="16"/>
          <w:lang w:val="es-CO"/>
        </w:rPr>
        <w:t>.6. Criterios utilizados para la selección de las contrapartes en la negociación de inversiones.</w:t>
      </w:r>
    </w:p>
    <w:p w14:paraId="48966C2E"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4DC10B55" w14:textId="630361C1" w:rsidR="00AC54DE" w:rsidRPr="00AC54DE" w:rsidRDefault="76EDA855" w:rsidP="00AC54DE">
      <w:pPr>
        <w:pStyle w:val="Prrafodelista"/>
        <w:pBdr>
          <w:left w:val="single" w:sz="4" w:space="4" w:color="auto"/>
        </w:pBdr>
        <w:ind w:left="0"/>
        <w:jc w:val="both"/>
        <w:rPr>
          <w:rFonts w:cs="Arial"/>
          <w:b/>
          <w:sz w:val="16"/>
          <w:szCs w:val="16"/>
          <w:lang w:val="es-CO"/>
        </w:rPr>
      </w:pPr>
      <w:r w:rsidRPr="46C20CE1">
        <w:rPr>
          <w:rFonts w:cs="Arial"/>
          <w:b/>
          <w:bCs/>
          <w:sz w:val="16"/>
          <w:szCs w:val="16"/>
          <w:lang w:val="es-CO"/>
        </w:rPr>
        <w:t>3.</w:t>
      </w:r>
      <w:r w:rsidRPr="492340F2">
        <w:rPr>
          <w:rFonts w:cs="Arial"/>
          <w:b/>
          <w:bCs/>
          <w:sz w:val="16"/>
          <w:szCs w:val="16"/>
          <w:lang w:val="es-CO"/>
        </w:rPr>
        <w:t>4.</w:t>
      </w:r>
      <w:r w:rsidR="00F24D2F">
        <w:rPr>
          <w:rFonts w:cs="Arial"/>
          <w:b/>
          <w:bCs/>
          <w:sz w:val="16"/>
          <w:szCs w:val="16"/>
          <w:lang w:val="es-CO"/>
        </w:rPr>
        <w:t>1.</w:t>
      </w:r>
      <w:r w:rsidR="00AC54DE" w:rsidRPr="275F1A74">
        <w:rPr>
          <w:rFonts w:cs="Arial"/>
          <w:b/>
          <w:bCs/>
          <w:sz w:val="16"/>
          <w:szCs w:val="16"/>
          <w:lang w:val="es-CO"/>
        </w:rPr>
        <w:t>1</w:t>
      </w:r>
      <w:r w:rsidR="2BC6A1FA" w:rsidRPr="275F1A74">
        <w:rPr>
          <w:rFonts w:cs="Arial"/>
          <w:b/>
          <w:bCs/>
          <w:sz w:val="16"/>
          <w:szCs w:val="16"/>
          <w:lang w:val="es-CO"/>
        </w:rPr>
        <w:t>1</w:t>
      </w:r>
      <w:r w:rsidR="00AC54DE" w:rsidRPr="275F1A74">
        <w:rPr>
          <w:rFonts w:cs="Arial"/>
          <w:b/>
          <w:bCs/>
          <w:sz w:val="16"/>
          <w:szCs w:val="16"/>
          <w:lang w:val="es-CO"/>
        </w:rPr>
        <w:t>.</w:t>
      </w:r>
      <w:r w:rsidR="00AC54DE" w:rsidRPr="00AC54DE">
        <w:rPr>
          <w:rFonts w:cs="Arial"/>
          <w:b/>
          <w:sz w:val="16"/>
          <w:szCs w:val="16"/>
          <w:lang w:val="es-CO"/>
        </w:rPr>
        <w:t xml:space="preserve"> Gestión de los potenciales conflictos de interés en el proceso </w:t>
      </w:r>
      <w:r w:rsidR="000046EF">
        <w:rPr>
          <w:rFonts w:cs="Arial"/>
          <w:b/>
          <w:sz w:val="16"/>
          <w:szCs w:val="16"/>
          <w:lang w:val="es-CO"/>
        </w:rPr>
        <w:t xml:space="preserve">de </w:t>
      </w:r>
      <w:r w:rsidR="00AC54DE" w:rsidRPr="00AC54DE">
        <w:rPr>
          <w:rFonts w:cs="Arial"/>
          <w:b/>
          <w:sz w:val="16"/>
          <w:szCs w:val="16"/>
          <w:lang w:val="es-CO"/>
        </w:rPr>
        <w:t>inversiones, en donde se indique por lo menos:</w:t>
      </w:r>
    </w:p>
    <w:p w14:paraId="01DCA7EE"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09230618" w14:textId="2BDFF684" w:rsidR="00AC54DE" w:rsidRPr="00AC54DE" w:rsidRDefault="28D0157B" w:rsidP="00AC54DE">
      <w:pPr>
        <w:pStyle w:val="Prrafodelista"/>
        <w:pBdr>
          <w:left w:val="single" w:sz="4" w:space="4" w:color="auto"/>
        </w:pBdr>
        <w:ind w:left="0"/>
        <w:jc w:val="both"/>
        <w:rPr>
          <w:rFonts w:cs="Arial"/>
          <w:b/>
          <w:sz w:val="16"/>
          <w:szCs w:val="16"/>
          <w:lang w:val="es-CO"/>
        </w:rPr>
      </w:pPr>
      <w:r w:rsidRPr="0EAF318A">
        <w:rPr>
          <w:rFonts w:cs="Arial"/>
          <w:b/>
          <w:bCs/>
          <w:sz w:val="16"/>
          <w:szCs w:val="16"/>
          <w:lang w:val="es-CO"/>
        </w:rPr>
        <w:t>3.4.</w:t>
      </w:r>
      <w:r w:rsidR="00F24D2F">
        <w:rPr>
          <w:rFonts w:cs="Arial"/>
          <w:b/>
          <w:bCs/>
          <w:sz w:val="16"/>
          <w:szCs w:val="16"/>
          <w:lang w:val="es-CO"/>
        </w:rPr>
        <w:t>1.</w:t>
      </w:r>
      <w:r w:rsidRPr="0EAF318A">
        <w:rPr>
          <w:rFonts w:cs="Arial"/>
          <w:b/>
          <w:bCs/>
          <w:sz w:val="16"/>
          <w:szCs w:val="16"/>
          <w:lang w:val="es-CO"/>
        </w:rPr>
        <w:t>11</w:t>
      </w:r>
      <w:r w:rsidR="00AC54DE" w:rsidRPr="0EAF318A">
        <w:rPr>
          <w:rFonts w:cs="Arial"/>
          <w:b/>
          <w:bCs/>
          <w:sz w:val="16"/>
          <w:szCs w:val="16"/>
          <w:lang w:val="es-CO"/>
        </w:rPr>
        <w:t>.</w:t>
      </w:r>
      <w:r w:rsidR="00AC54DE" w:rsidRPr="00AC54DE">
        <w:rPr>
          <w:rFonts w:cs="Arial"/>
          <w:b/>
          <w:sz w:val="16"/>
          <w:szCs w:val="16"/>
          <w:lang w:val="es-CO"/>
        </w:rPr>
        <w:t>1. Definición e identificación de situaciones generales que pueden generar conflictos d</w:t>
      </w:r>
      <w:r w:rsidR="00AC54DE" w:rsidRPr="000046EF">
        <w:rPr>
          <w:rFonts w:cs="Arial"/>
          <w:b/>
          <w:sz w:val="16"/>
          <w:szCs w:val="16"/>
          <w:lang w:val="es-CO"/>
        </w:rPr>
        <w:t xml:space="preserve">e </w:t>
      </w:r>
      <w:r w:rsidR="000046EF" w:rsidRPr="000046EF">
        <w:rPr>
          <w:rFonts w:cs="Arial"/>
          <w:b/>
          <w:sz w:val="16"/>
          <w:szCs w:val="16"/>
        </w:rPr>
        <w:t>interés, incluyendo aquellos que se presenten en el proceso de selección y negociación de inversiones.</w:t>
      </w:r>
    </w:p>
    <w:p w14:paraId="5C8C2075" w14:textId="44AE94B9" w:rsidR="00AC54DE" w:rsidRDefault="433C924D" w:rsidP="00AC54DE">
      <w:pPr>
        <w:pStyle w:val="Prrafodelista"/>
        <w:pBdr>
          <w:left w:val="single" w:sz="4" w:space="4" w:color="auto"/>
        </w:pBdr>
        <w:ind w:left="0"/>
        <w:jc w:val="both"/>
        <w:rPr>
          <w:rFonts w:cs="Arial"/>
          <w:b/>
          <w:sz w:val="16"/>
          <w:szCs w:val="16"/>
          <w:lang w:val="es-CO"/>
        </w:rPr>
      </w:pPr>
      <w:r w:rsidRPr="3EFDB853">
        <w:rPr>
          <w:rFonts w:cs="Arial"/>
          <w:b/>
          <w:bCs/>
          <w:sz w:val="16"/>
          <w:szCs w:val="16"/>
          <w:lang w:val="es-CO"/>
        </w:rPr>
        <w:t>3.4.</w:t>
      </w:r>
      <w:r w:rsidR="00F24D2F">
        <w:rPr>
          <w:rFonts w:cs="Arial"/>
          <w:b/>
          <w:bCs/>
          <w:sz w:val="16"/>
          <w:szCs w:val="16"/>
          <w:lang w:val="es-CO"/>
        </w:rPr>
        <w:t>1.</w:t>
      </w:r>
      <w:r w:rsidRPr="3EFDB853">
        <w:rPr>
          <w:rFonts w:cs="Arial"/>
          <w:b/>
          <w:bCs/>
          <w:sz w:val="16"/>
          <w:szCs w:val="16"/>
          <w:lang w:val="es-CO"/>
        </w:rPr>
        <w:t>11</w:t>
      </w:r>
      <w:r w:rsidR="00AC54DE" w:rsidRPr="00AC54DE">
        <w:rPr>
          <w:rFonts w:cs="Arial"/>
          <w:b/>
          <w:sz w:val="16"/>
          <w:szCs w:val="16"/>
          <w:lang w:val="es-CO"/>
        </w:rPr>
        <w:t>.2. Procedimientos para identificar y administrar cualquier operación que pueda dar lugar a conflictos de interés.</w:t>
      </w:r>
    </w:p>
    <w:p w14:paraId="788C5851" w14:textId="77777777" w:rsidR="00935EB0" w:rsidRPr="00AC54DE" w:rsidRDefault="00935EB0" w:rsidP="00AC54DE">
      <w:pPr>
        <w:pStyle w:val="Prrafodelista"/>
        <w:pBdr>
          <w:left w:val="single" w:sz="4" w:space="4" w:color="auto"/>
        </w:pBdr>
        <w:ind w:left="0"/>
        <w:jc w:val="both"/>
        <w:rPr>
          <w:rFonts w:cs="Arial"/>
          <w:b/>
          <w:sz w:val="16"/>
          <w:szCs w:val="16"/>
          <w:lang w:val="es-CO"/>
        </w:rPr>
      </w:pPr>
    </w:p>
    <w:p w14:paraId="42C0C3FD" w14:textId="3B5699CF" w:rsidR="00935EB0" w:rsidRPr="00935EB0" w:rsidRDefault="00AC54DE" w:rsidP="00935EB0">
      <w:pPr>
        <w:pBdr>
          <w:left w:val="single" w:sz="4" w:space="1" w:color="auto"/>
        </w:pBdr>
        <w:autoSpaceDE w:val="0"/>
        <w:autoSpaceDN w:val="0"/>
        <w:adjustRightInd w:val="0"/>
        <w:jc w:val="both"/>
        <w:rPr>
          <w:rFonts w:cs="Arial"/>
          <w:b/>
          <w:sz w:val="16"/>
          <w:szCs w:val="16"/>
        </w:rPr>
      </w:pPr>
      <w:bookmarkStart w:id="6" w:name="_GoBack"/>
      <w:r w:rsidRPr="00935EB0">
        <w:rPr>
          <w:rFonts w:cs="Arial"/>
          <w:b/>
          <w:sz w:val="16"/>
          <w:szCs w:val="16"/>
          <w:lang w:val="es-CO"/>
        </w:rPr>
        <w:lastRenderedPageBreak/>
        <w:t>3.</w:t>
      </w:r>
      <w:r w:rsidR="345BB77B" w:rsidRPr="00935EB0">
        <w:rPr>
          <w:rFonts w:cs="Arial"/>
          <w:b/>
          <w:bCs/>
          <w:sz w:val="16"/>
          <w:szCs w:val="16"/>
          <w:lang w:val="es-CO"/>
        </w:rPr>
        <w:t>4.</w:t>
      </w:r>
      <w:r w:rsidR="00F24D2F" w:rsidRPr="00935EB0">
        <w:rPr>
          <w:rFonts w:cs="Arial"/>
          <w:b/>
          <w:bCs/>
          <w:sz w:val="16"/>
          <w:szCs w:val="16"/>
          <w:lang w:val="es-CO"/>
        </w:rPr>
        <w:t>1.</w:t>
      </w:r>
      <w:r w:rsidR="345BB77B" w:rsidRPr="00935EB0">
        <w:rPr>
          <w:rFonts w:cs="Arial"/>
          <w:b/>
          <w:bCs/>
          <w:sz w:val="16"/>
          <w:szCs w:val="16"/>
          <w:lang w:val="es-CO"/>
        </w:rPr>
        <w:t>1</w:t>
      </w:r>
      <w:r w:rsidR="00935EB0" w:rsidRPr="00935EB0">
        <w:rPr>
          <w:rFonts w:cs="Arial"/>
          <w:b/>
          <w:bCs/>
          <w:sz w:val="16"/>
          <w:szCs w:val="16"/>
          <w:lang w:val="es-CO"/>
        </w:rPr>
        <w:t>2</w:t>
      </w:r>
      <w:r w:rsidRPr="00935EB0">
        <w:rPr>
          <w:rFonts w:cs="Arial"/>
          <w:b/>
          <w:bCs/>
          <w:sz w:val="16"/>
          <w:szCs w:val="16"/>
          <w:lang w:val="es-CO"/>
        </w:rPr>
        <w:t>.</w:t>
      </w:r>
      <w:r w:rsidRPr="00935EB0">
        <w:rPr>
          <w:rFonts w:cs="Arial"/>
          <w:b/>
          <w:sz w:val="16"/>
          <w:szCs w:val="16"/>
          <w:lang w:val="es-CO"/>
        </w:rPr>
        <w:t xml:space="preserve"> </w:t>
      </w:r>
      <w:r w:rsidR="00935EB0" w:rsidRPr="00935EB0">
        <w:rPr>
          <w:rFonts w:cs="Arial"/>
          <w:b/>
          <w:sz w:val="16"/>
          <w:szCs w:val="16"/>
        </w:rPr>
        <w:t xml:space="preserve">Las </w:t>
      </w:r>
      <w:r w:rsidR="00935EB0" w:rsidRPr="00935EB0">
        <w:rPr>
          <w:rFonts w:cs="Arial"/>
          <w:b/>
          <w:sz w:val="16"/>
          <w:szCs w:val="16"/>
        </w:rPr>
        <w:t>sociedades de capitalización</w:t>
      </w:r>
      <w:r w:rsidR="00935EB0" w:rsidRPr="00935EB0">
        <w:rPr>
          <w:rFonts w:cs="Arial"/>
          <w:b/>
          <w:sz w:val="16"/>
          <w:szCs w:val="16"/>
        </w:rPr>
        <w:t xml:space="preserve"> que hagan parte de un conglomerado financiero deben incluir en su política de inversión un capítulo que desarrolle de manera específica lo siguiente:</w:t>
      </w:r>
    </w:p>
    <w:p w14:paraId="782BA5D6" w14:textId="77777777" w:rsidR="00935EB0" w:rsidRPr="00935EB0" w:rsidRDefault="00935EB0" w:rsidP="00935EB0">
      <w:pPr>
        <w:pBdr>
          <w:left w:val="single" w:sz="4" w:space="1" w:color="auto"/>
        </w:pBdr>
        <w:autoSpaceDE w:val="0"/>
        <w:autoSpaceDN w:val="0"/>
        <w:adjustRightInd w:val="0"/>
        <w:jc w:val="both"/>
        <w:rPr>
          <w:rFonts w:cs="Arial"/>
          <w:b/>
          <w:sz w:val="16"/>
          <w:szCs w:val="16"/>
        </w:rPr>
      </w:pPr>
    </w:p>
    <w:p w14:paraId="3D85F648" w14:textId="2061C4D0" w:rsidR="00935EB0" w:rsidRPr="00935EB0" w:rsidRDefault="00935EB0" w:rsidP="00935EB0">
      <w:pPr>
        <w:pBdr>
          <w:left w:val="single" w:sz="4" w:space="1" w:color="auto"/>
        </w:pBdr>
        <w:autoSpaceDE w:val="0"/>
        <w:autoSpaceDN w:val="0"/>
        <w:adjustRightInd w:val="0"/>
        <w:jc w:val="both"/>
        <w:rPr>
          <w:rFonts w:cs="Arial"/>
          <w:b/>
          <w:sz w:val="16"/>
          <w:szCs w:val="16"/>
        </w:rPr>
      </w:pPr>
      <w:r w:rsidRPr="00935EB0">
        <w:rPr>
          <w:rFonts w:cs="Arial"/>
          <w:b/>
          <w:sz w:val="16"/>
          <w:szCs w:val="16"/>
          <w:lang w:val="es-CO"/>
        </w:rPr>
        <w:t>3.</w:t>
      </w:r>
      <w:r w:rsidRPr="00935EB0">
        <w:rPr>
          <w:rFonts w:cs="Arial"/>
          <w:b/>
          <w:bCs/>
          <w:sz w:val="16"/>
          <w:szCs w:val="16"/>
          <w:lang w:val="es-CO"/>
        </w:rPr>
        <w:t>4.1.12</w:t>
      </w:r>
      <w:r w:rsidRPr="00935EB0">
        <w:rPr>
          <w:rFonts w:cs="Arial"/>
          <w:b/>
          <w:sz w:val="16"/>
          <w:szCs w:val="16"/>
        </w:rPr>
        <w:t xml:space="preserve">.1. Los criterios para la selección y evaluación de las inversiones realizadas en entidades vinculadas o que hagan parte del conglomerado financiero. </w:t>
      </w:r>
    </w:p>
    <w:p w14:paraId="57460597" w14:textId="54CB6A14" w:rsidR="00935EB0" w:rsidRPr="00935EB0" w:rsidRDefault="00935EB0" w:rsidP="00935EB0">
      <w:pPr>
        <w:pBdr>
          <w:left w:val="single" w:sz="4" w:space="1" w:color="auto"/>
        </w:pBdr>
        <w:autoSpaceDE w:val="0"/>
        <w:autoSpaceDN w:val="0"/>
        <w:adjustRightInd w:val="0"/>
        <w:jc w:val="both"/>
        <w:rPr>
          <w:rFonts w:cs="Arial"/>
          <w:b/>
          <w:sz w:val="16"/>
          <w:szCs w:val="16"/>
        </w:rPr>
      </w:pPr>
      <w:r w:rsidRPr="00935EB0">
        <w:rPr>
          <w:rFonts w:cs="Arial"/>
          <w:b/>
          <w:sz w:val="16"/>
          <w:szCs w:val="16"/>
          <w:lang w:val="es-CO"/>
        </w:rPr>
        <w:t>3.</w:t>
      </w:r>
      <w:r w:rsidRPr="00935EB0">
        <w:rPr>
          <w:rFonts w:cs="Arial"/>
          <w:b/>
          <w:bCs/>
          <w:sz w:val="16"/>
          <w:szCs w:val="16"/>
          <w:lang w:val="es-CO"/>
        </w:rPr>
        <w:t>4.1.12</w:t>
      </w:r>
      <w:r w:rsidRPr="00935EB0">
        <w:rPr>
          <w:rFonts w:cs="Arial"/>
          <w:b/>
          <w:sz w:val="16"/>
          <w:szCs w:val="16"/>
        </w:rPr>
        <w:t>.2. Los criterios para la evaluación de los riesgos inherentes a las inversiones realizadas en entidades vinculadas o que hagan parte del conglomerado financiero.</w:t>
      </w:r>
    </w:p>
    <w:p w14:paraId="34515F1A" w14:textId="21FDE11A" w:rsidR="00935EB0" w:rsidRPr="00935EB0" w:rsidRDefault="00935EB0" w:rsidP="00935EB0">
      <w:pPr>
        <w:pBdr>
          <w:left w:val="single" w:sz="4" w:space="1" w:color="auto"/>
        </w:pBdr>
        <w:autoSpaceDE w:val="0"/>
        <w:autoSpaceDN w:val="0"/>
        <w:adjustRightInd w:val="0"/>
        <w:jc w:val="both"/>
        <w:rPr>
          <w:rFonts w:cs="Arial"/>
          <w:b/>
          <w:sz w:val="16"/>
          <w:szCs w:val="16"/>
        </w:rPr>
      </w:pPr>
      <w:r w:rsidRPr="00935EB0">
        <w:rPr>
          <w:rFonts w:cs="Arial"/>
          <w:b/>
          <w:sz w:val="16"/>
          <w:szCs w:val="16"/>
          <w:lang w:val="es-CO"/>
        </w:rPr>
        <w:t>3.</w:t>
      </w:r>
      <w:r w:rsidRPr="00935EB0">
        <w:rPr>
          <w:rFonts w:cs="Arial"/>
          <w:b/>
          <w:bCs/>
          <w:sz w:val="16"/>
          <w:szCs w:val="16"/>
          <w:lang w:val="es-CO"/>
        </w:rPr>
        <w:t>4.1.12</w:t>
      </w:r>
      <w:r w:rsidRPr="00935EB0">
        <w:rPr>
          <w:rFonts w:cs="Arial"/>
          <w:b/>
          <w:sz w:val="16"/>
          <w:szCs w:val="16"/>
        </w:rPr>
        <w:t xml:space="preserve">.3. </w:t>
      </w:r>
      <w:r w:rsidRPr="00935EB0">
        <w:rPr>
          <w:rFonts w:cs="Arial"/>
          <w:b/>
          <w:sz w:val="16"/>
          <w:szCs w:val="16"/>
          <w:lang w:val="es-CO"/>
        </w:rPr>
        <w:t xml:space="preserve">Las directrices generales impartidas por el holding financiero en materia de conflictos de interés, a que se refiere el artículo </w:t>
      </w:r>
      <w:r w:rsidRPr="00935EB0">
        <w:rPr>
          <w:rFonts w:cs="Arial"/>
          <w:b/>
          <w:sz w:val="16"/>
          <w:szCs w:val="16"/>
        </w:rPr>
        <w:t xml:space="preserve">2.39.3.1.4 del Decreto 2555 de 2010 </w:t>
      </w:r>
      <w:r w:rsidRPr="00935EB0">
        <w:rPr>
          <w:rFonts w:cs="Arial"/>
          <w:b/>
          <w:sz w:val="16"/>
          <w:szCs w:val="16"/>
          <w:lang w:val="es-CO"/>
        </w:rPr>
        <w:t>u otras disposiciones</w:t>
      </w:r>
      <w:r w:rsidRPr="00935EB0">
        <w:rPr>
          <w:rFonts w:cs="Arial"/>
          <w:b/>
          <w:sz w:val="16"/>
          <w:szCs w:val="16"/>
        </w:rPr>
        <w:t>.</w:t>
      </w:r>
    </w:p>
    <w:bookmarkEnd w:id="6"/>
    <w:p w14:paraId="20179B53" w14:textId="77777777" w:rsidR="00935EB0" w:rsidRDefault="00935EB0" w:rsidP="00AC54DE">
      <w:pPr>
        <w:pStyle w:val="Prrafodelista"/>
        <w:pBdr>
          <w:left w:val="single" w:sz="4" w:space="4" w:color="auto"/>
        </w:pBdr>
        <w:ind w:left="0"/>
        <w:jc w:val="both"/>
        <w:rPr>
          <w:rFonts w:cs="Arial"/>
          <w:b/>
          <w:sz w:val="16"/>
          <w:szCs w:val="16"/>
          <w:lang w:val="es-CO"/>
        </w:rPr>
      </w:pPr>
    </w:p>
    <w:p w14:paraId="032F8E47" w14:textId="3B437D20" w:rsidR="00AC54DE" w:rsidRPr="00AC54DE" w:rsidRDefault="170362E6" w:rsidP="00AC54DE">
      <w:pPr>
        <w:pStyle w:val="Prrafodelista"/>
        <w:pBdr>
          <w:left w:val="single" w:sz="4" w:space="4" w:color="auto"/>
        </w:pBdr>
        <w:ind w:left="0"/>
        <w:jc w:val="both"/>
        <w:rPr>
          <w:rFonts w:cs="Arial"/>
          <w:b/>
          <w:sz w:val="16"/>
          <w:szCs w:val="16"/>
          <w:lang w:val="es-CO"/>
        </w:rPr>
      </w:pPr>
      <w:r w:rsidRPr="392E64E1">
        <w:rPr>
          <w:rFonts w:cs="Arial"/>
          <w:b/>
          <w:bCs/>
          <w:sz w:val="16"/>
          <w:szCs w:val="16"/>
          <w:lang w:val="es-CO"/>
        </w:rPr>
        <w:t>3.5</w:t>
      </w:r>
      <w:r w:rsidR="00AC54DE" w:rsidRPr="00AC54DE">
        <w:rPr>
          <w:rFonts w:cs="Arial"/>
          <w:b/>
          <w:sz w:val="16"/>
          <w:szCs w:val="16"/>
          <w:lang w:val="es-CO"/>
        </w:rPr>
        <w:t xml:space="preserve">. </w:t>
      </w:r>
      <w:r w:rsidR="00F24D2F">
        <w:rPr>
          <w:rFonts w:cs="Arial"/>
          <w:b/>
          <w:sz w:val="16"/>
          <w:szCs w:val="16"/>
          <w:lang w:val="es-CO"/>
        </w:rPr>
        <w:t>Composición y f</w:t>
      </w:r>
      <w:r w:rsidR="00AC54DE" w:rsidRPr="00AC54DE">
        <w:rPr>
          <w:rFonts w:cs="Arial"/>
          <w:b/>
          <w:sz w:val="16"/>
          <w:szCs w:val="16"/>
          <w:lang w:val="es-CO"/>
        </w:rPr>
        <w:t xml:space="preserve">unciones del comité de riesgos </w:t>
      </w:r>
    </w:p>
    <w:p w14:paraId="5271E254" w14:textId="3AA0E635" w:rsidR="00AC54DE" w:rsidRDefault="00AC54DE" w:rsidP="00AC54DE">
      <w:pPr>
        <w:pStyle w:val="Prrafodelista"/>
        <w:pBdr>
          <w:left w:val="single" w:sz="4" w:space="4" w:color="auto"/>
        </w:pBdr>
        <w:ind w:left="0"/>
        <w:jc w:val="both"/>
        <w:rPr>
          <w:rFonts w:cs="Arial"/>
          <w:b/>
          <w:sz w:val="16"/>
          <w:szCs w:val="16"/>
          <w:lang w:val="es-CO"/>
        </w:rPr>
      </w:pPr>
    </w:p>
    <w:p w14:paraId="34DFB451" w14:textId="0AB5ADFE" w:rsidR="00F24D2F" w:rsidRPr="00A70653" w:rsidRDefault="00F24D2F" w:rsidP="00B54BC2">
      <w:pPr>
        <w:pStyle w:val="NormalWeb"/>
        <w:pBdr>
          <w:left w:val="single" w:sz="4" w:space="1" w:color="auto"/>
        </w:pBdr>
        <w:autoSpaceDE w:val="0"/>
        <w:autoSpaceDN w:val="0"/>
        <w:adjustRightInd w:val="0"/>
        <w:spacing w:before="0" w:beforeAutospacing="0" w:after="0" w:afterAutospacing="0"/>
        <w:ind w:left="-45"/>
        <w:jc w:val="both"/>
        <w:rPr>
          <w:rFonts w:ascii="Arial" w:hAnsi="Arial" w:cs="Arial"/>
          <w:b/>
          <w:sz w:val="16"/>
          <w:szCs w:val="16"/>
          <w:lang w:eastAsia="es-CO"/>
        </w:rPr>
      </w:pPr>
      <w:r w:rsidRPr="00A70653">
        <w:rPr>
          <w:rFonts w:ascii="Arial" w:hAnsi="Arial" w:cs="Arial"/>
          <w:b/>
          <w:sz w:val="16"/>
          <w:szCs w:val="16"/>
          <w:lang w:eastAsia="es-CO"/>
        </w:rPr>
        <w:t xml:space="preserve">Para la gestión de sus inversiones las sociedades de capitalización deben contar con un comité de riesgos conformado por un número plural e impar de miembros designados por la junta directiva. El comité debe ser funcional y organizacionalmente independiente de las unidades de negocio y demás áreas que podrían generar conflictos de interés. En la composición del comité de riesgos las juntas directivas de las sociedades de capitalización podrán designar miembros independientes a la </w:t>
      </w:r>
      <w:r w:rsidR="001D5367">
        <w:rPr>
          <w:rFonts w:ascii="Arial" w:hAnsi="Arial" w:cs="Arial"/>
          <w:b/>
          <w:sz w:val="16"/>
          <w:szCs w:val="16"/>
          <w:lang w:eastAsia="es-CO"/>
        </w:rPr>
        <w:t>entidad</w:t>
      </w:r>
      <w:r w:rsidRPr="00A70653">
        <w:rPr>
          <w:rFonts w:ascii="Arial" w:hAnsi="Arial" w:cs="Arial"/>
          <w:b/>
          <w:sz w:val="16"/>
          <w:szCs w:val="16"/>
          <w:lang w:eastAsia="es-CO"/>
        </w:rPr>
        <w:t>. En caso de no contemplar la participación de miembros independientes, debe</w:t>
      </w:r>
      <w:r w:rsidR="000046EF">
        <w:rPr>
          <w:rFonts w:ascii="Arial" w:hAnsi="Arial" w:cs="Arial"/>
          <w:b/>
          <w:sz w:val="16"/>
          <w:szCs w:val="16"/>
          <w:lang w:eastAsia="es-CO"/>
        </w:rPr>
        <w:t>n</w:t>
      </w:r>
      <w:r w:rsidRPr="00A70653">
        <w:rPr>
          <w:rFonts w:ascii="Arial" w:hAnsi="Arial" w:cs="Arial"/>
          <w:b/>
          <w:sz w:val="16"/>
          <w:szCs w:val="16"/>
          <w:lang w:eastAsia="es-CO"/>
        </w:rPr>
        <w:t xml:space="preserve"> explicarse los motivos de la decisión.</w:t>
      </w:r>
    </w:p>
    <w:p w14:paraId="05154E9D" w14:textId="77777777" w:rsidR="00F24D2F" w:rsidRPr="00A70653" w:rsidRDefault="00F24D2F" w:rsidP="00B54BC2">
      <w:pPr>
        <w:pStyle w:val="NormalWeb"/>
        <w:pBdr>
          <w:left w:val="single" w:sz="4" w:space="1" w:color="auto"/>
        </w:pBdr>
        <w:autoSpaceDE w:val="0"/>
        <w:autoSpaceDN w:val="0"/>
        <w:adjustRightInd w:val="0"/>
        <w:spacing w:before="0" w:beforeAutospacing="0" w:after="0" w:afterAutospacing="0"/>
        <w:ind w:left="-45"/>
        <w:jc w:val="both"/>
        <w:rPr>
          <w:rFonts w:ascii="Arial" w:hAnsi="Arial" w:cs="Arial"/>
          <w:b/>
          <w:sz w:val="16"/>
          <w:szCs w:val="16"/>
          <w:lang w:eastAsia="es-CO"/>
        </w:rPr>
      </w:pPr>
    </w:p>
    <w:p w14:paraId="1D757F94" w14:textId="77777777" w:rsidR="00F24D2F" w:rsidRPr="00A70653" w:rsidRDefault="00F24D2F" w:rsidP="00B54BC2">
      <w:pPr>
        <w:pStyle w:val="NormalWeb"/>
        <w:pBdr>
          <w:left w:val="single" w:sz="4" w:space="1" w:color="auto"/>
        </w:pBdr>
        <w:autoSpaceDE w:val="0"/>
        <w:autoSpaceDN w:val="0"/>
        <w:adjustRightInd w:val="0"/>
        <w:spacing w:before="0" w:beforeAutospacing="0" w:after="0" w:afterAutospacing="0"/>
        <w:ind w:left="-45"/>
        <w:jc w:val="both"/>
        <w:rPr>
          <w:rFonts w:ascii="Arial" w:hAnsi="Arial" w:cs="Arial"/>
          <w:b/>
          <w:sz w:val="16"/>
          <w:szCs w:val="16"/>
          <w:lang w:eastAsia="es-CO"/>
        </w:rPr>
      </w:pPr>
      <w:r w:rsidRPr="00A70653">
        <w:rPr>
          <w:rFonts w:ascii="Arial" w:hAnsi="Arial" w:cs="Arial"/>
          <w:b/>
          <w:sz w:val="16"/>
          <w:szCs w:val="16"/>
          <w:lang w:eastAsia="es-CO"/>
        </w:rPr>
        <w:t>En relación con la administración de las inversiones, el comité de riesgos tiene bajo su responsabilidad definir las clases de activos a invertir, establecer las condiciones que deben cumplir los títulos y/o valores y los emisores de las inversiones u operaciones que se pueden realizar, analizar, evaluar y decidir sobre la administración de los riesgos inherentes a la actividad de inversión, tales como riesgo de mercado, de liquidez, de contraparte, de crédito, de lavado de activos, operacional y conflictos de interés.</w:t>
      </w:r>
    </w:p>
    <w:p w14:paraId="3FAC207D" w14:textId="77777777" w:rsidR="00F24D2F" w:rsidRPr="00A70653" w:rsidRDefault="00F24D2F" w:rsidP="00B54BC2">
      <w:pPr>
        <w:pStyle w:val="NormalWeb"/>
        <w:pBdr>
          <w:left w:val="single" w:sz="4" w:space="1" w:color="auto"/>
        </w:pBdr>
        <w:autoSpaceDE w:val="0"/>
        <w:autoSpaceDN w:val="0"/>
        <w:adjustRightInd w:val="0"/>
        <w:spacing w:before="0" w:beforeAutospacing="0" w:after="0" w:afterAutospacing="0"/>
        <w:ind w:left="-45"/>
        <w:jc w:val="both"/>
        <w:rPr>
          <w:rFonts w:ascii="Arial" w:hAnsi="Arial" w:cs="Arial"/>
          <w:b/>
          <w:sz w:val="16"/>
          <w:szCs w:val="16"/>
          <w:lang w:eastAsia="es-CO"/>
        </w:rPr>
      </w:pPr>
    </w:p>
    <w:p w14:paraId="49673F70" w14:textId="0D92FC82" w:rsidR="00F24D2F" w:rsidRDefault="00F24D2F" w:rsidP="00B54BC2">
      <w:pPr>
        <w:pStyle w:val="NormalWeb"/>
        <w:pBdr>
          <w:left w:val="single" w:sz="4" w:space="1" w:color="auto"/>
        </w:pBdr>
        <w:autoSpaceDE w:val="0"/>
        <w:autoSpaceDN w:val="0"/>
        <w:adjustRightInd w:val="0"/>
        <w:spacing w:before="0" w:beforeAutospacing="0" w:after="0" w:afterAutospacing="0"/>
        <w:ind w:left="-45"/>
        <w:jc w:val="both"/>
        <w:rPr>
          <w:rFonts w:ascii="Arial" w:hAnsi="Arial" w:cs="Arial"/>
          <w:b/>
          <w:sz w:val="16"/>
          <w:szCs w:val="16"/>
          <w:lang w:eastAsia="es-CO"/>
        </w:rPr>
      </w:pPr>
      <w:r w:rsidRPr="00A70653">
        <w:rPr>
          <w:rFonts w:ascii="Arial" w:hAnsi="Arial" w:cs="Arial"/>
          <w:b/>
          <w:sz w:val="16"/>
          <w:szCs w:val="16"/>
          <w:lang w:eastAsia="es-CO"/>
        </w:rPr>
        <w:t>Para el cumplimiento de sus funciones e</w:t>
      </w:r>
      <w:r w:rsidR="001D5367">
        <w:rPr>
          <w:rFonts w:ascii="Arial" w:hAnsi="Arial" w:cs="Arial"/>
          <w:b/>
          <w:sz w:val="16"/>
          <w:szCs w:val="16"/>
          <w:lang w:eastAsia="es-CO"/>
        </w:rPr>
        <w:t>ste</w:t>
      </w:r>
      <w:r w:rsidRPr="00A70653">
        <w:rPr>
          <w:rFonts w:ascii="Arial" w:hAnsi="Arial" w:cs="Arial"/>
          <w:b/>
          <w:sz w:val="16"/>
          <w:szCs w:val="16"/>
          <w:lang w:eastAsia="es-CO"/>
        </w:rPr>
        <w:t xml:space="preserve"> comité de riesgos debe: (i) tener acceso directo a la </w:t>
      </w:r>
      <w:r w:rsidR="001D5367">
        <w:rPr>
          <w:rFonts w:ascii="Arial" w:hAnsi="Arial" w:cs="Arial"/>
          <w:b/>
          <w:sz w:val="16"/>
          <w:szCs w:val="16"/>
          <w:lang w:eastAsia="es-CO"/>
        </w:rPr>
        <w:t>junta directiva</w:t>
      </w:r>
      <w:r w:rsidRPr="00A70653">
        <w:rPr>
          <w:rFonts w:ascii="Arial" w:hAnsi="Arial" w:cs="Arial"/>
          <w:b/>
          <w:sz w:val="16"/>
          <w:szCs w:val="16"/>
          <w:lang w:eastAsia="es-CO"/>
        </w:rPr>
        <w:t>, a</w:t>
      </w:r>
      <w:r w:rsidR="001D5367">
        <w:rPr>
          <w:rFonts w:ascii="Arial" w:hAnsi="Arial" w:cs="Arial"/>
          <w:b/>
          <w:sz w:val="16"/>
          <w:szCs w:val="16"/>
          <w:lang w:eastAsia="es-CO"/>
        </w:rPr>
        <w:t xml:space="preserve"> </w:t>
      </w:r>
      <w:r w:rsidRPr="00A70653">
        <w:rPr>
          <w:rFonts w:ascii="Arial" w:hAnsi="Arial" w:cs="Arial"/>
          <w:b/>
          <w:sz w:val="16"/>
          <w:szCs w:val="16"/>
          <w:lang w:eastAsia="es-CO"/>
        </w:rPr>
        <w:t>l</w:t>
      </w:r>
      <w:r w:rsidR="001D5367">
        <w:rPr>
          <w:rFonts w:ascii="Arial" w:hAnsi="Arial" w:cs="Arial"/>
          <w:b/>
          <w:sz w:val="16"/>
          <w:szCs w:val="16"/>
          <w:lang w:eastAsia="es-CO"/>
        </w:rPr>
        <w:t>os</w:t>
      </w:r>
      <w:r w:rsidRPr="00A70653">
        <w:rPr>
          <w:rFonts w:ascii="Arial" w:hAnsi="Arial" w:cs="Arial"/>
          <w:b/>
          <w:sz w:val="16"/>
          <w:szCs w:val="16"/>
          <w:lang w:eastAsia="es-CO"/>
        </w:rPr>
        <w:t xml:space="preserve"> representante</w:t>
      </w:r>
      <w:r w:rsidR="001D5367">
        <w:rPr>
          <w:rFonts w:ascii="Arial" w:hAnsi="Arial" w:cs="Arial"/>
          <w:b/>
          <w:sz w:val="16"/>
          <w:szCs w:val="16"/>
          <w:lang w:eastAsia="es-CO"/>
        </w:rPr>
        <w:t>s</w:t>
      </w:r>
      <w:r w:rsidRPr="00A70653">
        <w:rPr>
          <w:rFonts w:ascii="Arial" w:hAnsi="Arial" w:cs="Arial"/>
          <w:b/>
          <w:sz w:val="16"/>
          <w:szCs w:val="16"/>
          <w:lang w:eastAsia="es-CO"/>
        </w:rPr>
        <w:t xml:space="preserve"> legal</w:t>
      </w:r>
      <w:r w:rsidR="001D5367">
        <w:rPr>
          <w:rFonts w:ascii="Arial" w:hAnsi="Arial" w:cs="Arial"/>
          <w:b/>
          <w:sz w:val="16"/>
          <w:szCs w:val="16"/>
          <w:lang w:eastAsia="es-CO"/>
        </w:rPr>
        <w:t>es</w:t>
      </w:r>
      <w:r w:rsidRPr="00A70653">
        <w:rPr>
          <w:rFonts w:ascii="Arial" w:hAnsi="Arial" w:cs="Arial"/>
          <w:b/>
          <w:sz w:val="16"/>
          <w:szCs w:val="16"/>
          <w:lang w:eastAsia="es-CO"/>
        </w:rPr>
        <w:t>, a las unidades de negocio y demás dependencias de la sociedad de capitalización, así como a sus registros e información, y (</w:t>
      </w:r>
      <w:proofErr w:type="spellStart"/>
      <w:r w:rsidRPr="00A70653">
        <w:rPr>
          <w:rFonts w:ascii="Arial" w:hAnsi="Arial" w:cs="Arial"/>
          <w:b/>
          <w:sz w:val="16"/>
          <w:szCs w:val="16"/>
          <w:lang w:eastAsia="es-CO"/>
        </w:rPr>
        <w:t>ii</w:t>
      </w:r>
      <w:proofErr w:type="spellEnd"/>
      <w:r w:rsidRPr="00A70653">
        <w:rPr>
          <w:rFonts w:ascii="Arial" w:hAnsi="Arial" w:cs="Arial"/>
          <w:b/>
          <w:sz w:val="16"/>
          <w:szCs w:val="16"/>
          <w:lang w:eastAsia="es-CO"/>
        </w:rPr>
        <w:t>) contar con el nivel jerárquico, el poder de decisión y la autoridad suficiente para cumplir con sus funciones y responsabilidades y para hacer recomendaciones y seguimiento a las medidas tomadas por la administración en respuesta a las circunstancias y oportunidades de mejora identificados.</w:t>
      </w:r>
    </w:p>
    <w:p w14:paraId="5AEDBE5F" w14:textId="77777777" w:rsidR="00B54BC2" w:rsidRPr="00A70653" w:rsidRDefault="00B54BC2" w:rsidP="00B54BC2">
      <w:pPr>
        <w:pStyle w:val="NormalWeb"/>
        <w:pBdr>
          <w:left w:val="single" w:sz="4" w:space="1" w:color="auto"/>
        </w:pBdr>
        <w:autoSpaceDE w:val="0"/>
        <w:autoSpaceDN w:val="0"/>
        <w:adjustRightInd w:val="0"/>
        <w:spacing w:before="0" w:beforeAutospacing="0" w:after="0" w:afterAutospacing="0"/>
        <w:ind w:left="-45"/>
        <w:jc w:val="both"/>
        <w:rPr>
          <w:rFonts w:ascii="Arial" w:hAnsi="Arial" w:cs="Arial"/>
          <w:b/>
          <w:sz w:val="16"/>
          <w:szCs w:val="16"/>
          <w:lang w:eastAsia="es-CO"/>
        </w:rPr>
      </w:pPr>
    </w:p>
    <w:p w14:paraId="49AC6322" w14:textId="0712B45F" w:rsidR="00F24D2F" w:rsidRPr="001D5367" w:rsidRDefault="00F24D2F" w:rsidP="00F24D2F">
      <w:pPr>
        <w:pStyle w:val="Prrafodelista"/>
        <w:pBdr>
          <w:left w:val="single" w:sz="4" w:space="4" w:color="auto"/>
        </w:pBdr>
        <w:ind w:left="0"/>
        <w:jc w:val="both"/>
        <w:rPr>
          <w:rFonts w:cs="Arial"/>
          <w:b/>
          <w:sz w:val="16"/>
          <w:szCs w:val="16"/>
          <w:lang w:val="es-CO"/>
        </w:rPr>
      </w:pPr>
      <w:r w:rsidRPr="00A70653">
        <w:rPr>
          <w:rFonts w:cs="Arial"/>
          <w:b/>
          <w:sz w:val="16"/>
          <w:szCs w:val="16"/>
        </w:rPr>
        <w:t>Las funciones</w:t>
      </w:r>
      <w:r w:rsidR="001D5367">
        <w:rPr>
          <w:rFonts w:cs="Arial"/>
          <w:b/>
          <w:sz w:val="16"/>
          <w:szCs w:val="16"/>
        </w:rPr>
        <w:t xml:space="preserve"> aquí</w:t>
      </w:r>
      <w:r w:rsidRPr="00A70653">
        <w:rPr>
          <w:rFonts w:cs="Arial"/>
          <w:b/>
          <w:sz w:val="16"/>
          <w:szCs w:val="16"/>
        </w:rPr>
        <w:t xml:space="preserve"> señaladas podr</w:t>
      </w:r>
      <w:r w:rsidR="001D5367">
        <w:rPr>
          <w:rFonts w:cs="Arial"/>
          <w:b/>
          <w:sz w:val="16"/>
          <w:szCs w:val="16"/>
        </w:rPr>
        <w:t>á</w:t>
      </w:r>
      <w:r w:rsidRPr="00A70653">
        <w:rPr>
          <w:rFonts w:cs="Arial"/>
          <w:b/>
          <w:sz w:val="16"/>
          <w:szCs w:val="16"/>
        </w:rPr>
        <w:t xml:space="preserve">n ser distribuidas </w:t>
      </w:r>
      <w:r w:rsidR="001D5367">
        <w:rPr>
          <w:rFonts w:cs="Arial"/>
          <w:b/>
          <w:sz w:val="16"/>
          <w:szCs w:val="16"/>
        </w:rPr>
        <w:t xml:space="preserve">entre </w:t>
      </w:r>
      <w:r w:rsidRPr="00A70653">
        <w:rPr>
          <w:rFonts w:cs="Arial"/>
          <w:b/>
          <w:sz w:val="16"/>
          <w:szCs w:val="16"/>
        </w:rPr>
        <w:t>el comité de riesgos de que trata el presente numeral y de otros comités establecidos por la sociedad de capitalización, siempre que (i) los demás comités tengan una estructura orgánica y de gobierno asimilable a la del comité de riesgos y (</w:t>
      </w:r>
      <w:proofErr w:type="spellStart"/>
      <w:r w:rsidRPr="00A70653">
        <w:rPr>
          <w:rFonts w:cs="Arial"/>
          <w:b/>
          <w:sz w:val="16"/>
          <w:szCs w:val="16"/>
        </w:rPr>
        <w:t>ii</w:t>
      </w:r>
      <w:proofErr w:type="spellEnd"/>
      <w:r w:rsidRPr="00A70653">
        <w:rPr>
          <w:rFonts w:cs="Arial"/>
          <w:b/>
          <w:sz w:val="16"/>
          <w:szCs w:val="16"/>
        </w:rPr>
        <w:t>) dentro de la distribución aprobada por la junta directiva se garantice el cumplimiento efectivo de las funciones.</w:t>
      </w:r>
    </w:p>
    <w:p w14:paraId="28C67C0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619080CA" w14:textId="77777777"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Para el efecto en relación con la gestión de inversiones, el comité tendrá las siguientes funciones:</w:t>
      </w:r>
    </w:p>
    <w:p w14:paraId="7FA9AF5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BB82393" w14:textId="3A1369F3" w:rsidR="00AC54DE" w:rsidRPr="00AC54DE" w:rsidRDefault="7CA19ACF" w:rsidP="00AC54DE">
      <w:pPr>
        <w:pStyle w:val="Prrafodelista"/>
        <w:pBdr>
          <w:left w:val="single" w:sz="4" w:space="4" w:color="auto"/>
        </w:pBdr>
        <w:ind w:left="0"/>
        <w:jc w:val="both"/>
        <w:rPr>
          <w:rFonts w:cs="Arial"/>
          <w:b/>
          <w:sz w:val="16"/>
          <w:szCs w:val="16"/>
          <w:lang w:val="es-CO"/>
        </w:rPr>
      </w:pPr>
      <w:r w:rsidRPr="74F25D4F">
        <w:rPr>
          <w:rFonts w:cs="Arial"/>
          <w:b/>
          <w:bCs/>
          <w:sz w:val="16"/>
          <w:szCs w:val="16"/>
          <w:lang w:val="es-CO"/>
        </w:rPr>
        <w:t>3.5</w:t>
      </w:r>
      <w:r w:rsidR="00AC54DE" w:rsidRPr="00AC54DE">
        <w:rPr>
          <w:rFonts w:cs="Arial"/>
          <w:b/>
          <w:sz w:val="16"/>
          <w:szCs w:val="16"/>
          <w:lang w:val="es-CO"/>
        </w:rPr>
        <w:t>.1. Proponer a la junta directiva, para su respectiva aprobación, las políticas de la entidad en la administración o gestión de riesgos inherentes a la actividad de inversión.</w:t>
      </w:r>
    </w:p>
    <w:p w14:paraId="52399432"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05F71B2F" w14:textId="2B124FC3" w:rsidR="00AC54DE" w:rsidRPr="00AC54DE" w:rsidRDefault="1D35E44A" w:rsidP="00AC54DE">
      <w:pPr>
        <w:pStyle w:val="Prrafodelista"/>
        <w:pBdr>
          <w:left w:val="single" w:sz="4" w:space="4" w:color="auto"/>
        </w:pBdr>
        <w:ind w:left="0"/>
        <w:jc w:val="both"/>
        <w:rPr>
          <w:rFonts w:cs="Arial"/>
          <w:b/>
          <w:sz w:val="16"/>
          <w:szCs w:val="16"/>
          <w:lang w:val="es-CO"/>
        </w:rPr>
      </w:pPr>
      <w:r w:rsidRPr="2E22FA27">
        <w:rPr>
          <w:rFonts w:cs="Arial"/>
          <w:b/>
          <w:bCs/>
          <w:sz w:val="16"/>
          <w:szCs w:val="16"/>
          <w:lang w:val="es-CO"/>
        </w:rPr>
        <w:t>3.5</w:t>
      </w:r>
      <w:r w:rsidR="00AC54DE" w:rsidRPr="2E22FA27">
        <w:rPr>
          <w:rFonts w:cs="Arial"/>
          <w:b/>
          <w:bCs/>
          <w:sz w:val="16"/>
          <w:szCs w:val="16"/>
          <w:lang w:val="es-CO"/>
        </w:rPr>
        <w:t>.</w:t>
      </w:r>
      <w:r w:rsidR="00AC54DE" w:rsidRPr="00AC54DE">
        <w:rPr>
          <w:rFonts w:cs="Arial"/>
          <w:b/>
          <w:sz w:val="16"/>
          <w:szCs w:val="16"/>
          <w:lang w:val="es-CO"/>
        </w:rPr>
        <w:t>2. Evaluar y hacer seguimiento a los informes presentados por el middle</w:t>
      </w:r>
      <w:r w:rsidR="00510BF6">
        <w:rPr>
          <w:rFonts w:cs="Arial"/>
          <w:b/>
          <w:sz w:val="16"/>
          <w:szCs w:val="16"/>
          <w:lang w:val="es-CO"/>
        </w:rPr>
        <w:t xml:space="preserve"> </w:t>
      </w:r>
      <w:r w:rsidR="00AC54DE" w:rsidRPr="00AC54DE">
        <w:rPr>
          <w:rFonts w:cs="Arial"/>
          <w:b/>
          <w:sz w:val="16"/>
          <w:szCs w:val="16"/>
          <w:lang w:val="es-CO"/>
        </w:rPr>
        <w:t>office sobre el cumplimiento de las políticas de administración o gestión de riesgos inherentes a la actividad de inversión y presentar ante la junta directiva, por lo menos una vez al mes, un informe sobre dicha evaluación.</w:t>
      </w:r>
    </w:p>
    <w:p w14:paraId="73DA857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13EB9DD" w14:textId="17BF0B87"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241F5E8B" w:rsidRPr="259A9257">
        <w:rPr>
          <w:rFonts w:cs="Arial"/>
          <w:b/>
          <w:bCs/>
          <w:sz w:val="16"/>
          <w:szCs w:val="16"/>
          <w:lang w:val="es-CO"/>
        </w:rPr>
        <w:t>5.</w:t>
      </w:r>
      <w:r w:rsidRPr="259A9257">
        <w:rPr>
          <w:rFonts w:cs="Arial"/>
          <w:b/>
          <w:bCs/>
          <w:sz w:val="16"/>
          <w:szCs w:val="16"/>
          <w:lang w:val="es-CO"/>
        </w:rPr>
        <w:t>3.</w:t>
      </w:r>
      <w:r w:rsidRPr="00AC54DE">
        <w:rPr>
          <w:rFonts w:cs="Arial"/>
          <w:b/>
          <w:sz w:val="16"/>
          <w:szCs w:val="16"/>
          <w:lang w:val="es-CO"/>
        </w:rPr>
        <w:t xml:space="preserve"> Proponer a la junta directiva, para su respectiva aprobación, las metodologías de identificación, medición, control y monitoreo de los riesgos inherentes a la actividad de inversión y evaluar los resultados sobre back y stress testing. </w:t>
      </w:r>
    </w:p>
    <w:p w14:paraId="7E6D1D89"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3B131132" w14:textId="0A9841EA" w:rsidR="00AC54DE" w:rsidRPr="00AC54DE" w:rsidRDefault="095EC5BB" w:rsidP="00AC54DE">
      <w:pPr>
        <w:pStyle w:val="Prrafodelista"/>
        <w:pBdr>
          <w:left w:val="single" w:sz="4" w:space="4" w:color="auto"/>
        </w:pBdr>
        <w:ind w:left="0"/>
        <w:jc w:val="both"/>
        <w:rPr>
          <w:rFonts w:cs="Arial"/>
          <w:b/>
          <w:sz w:val="16"/>
          <w:szCs w:val="16"/>
          <w:lang w:val="es-CO"/>
        </w:rPr>
      </w:pPr>
      <w:r w:rsidRPr="058BB15D">
        <w:rPr>
          <w:rFonts w:cs="Arial"/>
          <w:b/>
          <w:bCs/>
          <w:sz w:val="16"/>
          <w:szCs w:val="16"/>
          <w:lang w:val="es-CO"/>
        </w:rPr>
        <w:t>3.</w:t>
      </w:r>
      <w:r w:rsidRPr="13166FB8">
        <w:rPr>
          <w:rFonts w:cs="Arial"/>
          <w:b/>
          <w:bCs/>
          <w:sz w:val="16"/>
          <w:szCs w:val="16"/>
          <w:lang w:val="es-CO"/>
        </w:rPr>
        <w:t>5.</w:t>
      </w:r>
      <w:r w:rsidR="00AC54DE" w:rsidRPr="13166FB8">
        <w:rPr>
          <w:rFonts w:cs="Arial"/>
          <w:b/>
          <w:bCs/>
          <w:sz w:val="16"/>
          <w:szCs w:val="16"/>
          <w:lang w:val="es-CO"/>
        </w:rPr>
        <w:t>4</w:t>
      </w:r>
      <w:r w:rsidR="00AC54DE" w:rsidRPr="058BB15D">
        <w:rPr>
          <w:rFonts w:cs="Arial"/>
          <w:b/>
          <w:bCs/>
          <w:sz w:val="16"/>
          <w:szCs w:val="16"/>
          <w:lang w:val="es-CO"/>
        </w:rPr>
        <w:t>.</w:t>
      </w:r>
      <w:r w:rsidR="00AC54DE" w:rsidRPr="00AC54DE">
        <w:rPr>
          <w:rFonts w:cs="Arial"/>
          <w:b/>
          <w:sz w:val="16"/>
          <w:szCs w:val="16"/>
          <w:lang w:val="es-CO"/>
        </w:rPr>
        <w:t xml:space="preserve"> Presentar a la junta directiva para su aprobación, los límites de exposición a los riesgos inherentes a la actividad de inversión y efectuar seguimiento al cumplimiento de los mismos.</w:t>
      </w:r>
    </w:p>
    <w:p w14:paraId="658791E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CF4B2CB" w14:textId="216D906C" w:rsidR="00AC54DE" w:rsidRPr="00AC54DE" w:rsidRDefault="0CBEB349" w:rsidP="00AC54DE">
      <w:pPr>
        <w:pStyle w:val="Prrafodelista"/>
        <w:pBdr>
          <w:left w:val="single" w:sz="4" w:space="4" w:color="auto"/>
        </w:pBdr>
        <w:ind w:left="0"/>
        <w:jc w:val="both"/>
        <w:rPr>
          <w:rFonts w:cs="Arial"/>
          <w:b/>
          <w:sz w:val="16"/>
          <w:szCs w:val="16"/>
          <w:lang w:val="es-CO"/>
        </w:rPr>
      </w:pPr>
      <w:r w:rsidRPr="13166FB8">
        <w:rPr>
          <w:rFonts w:cs="Arial"/>
          <w:b/>
          <w:bCs/>
          <w:sz w:val="16"/>
          <w:szCs w:val="16"/>
          <w:lang w:val="es-CO"/>
        </w:rPr>
        <w:t>3</w:t>
      </w:r>
      <w:r w:rsidR="00AC54DE" w:rsidRPr="00AC54DE">
        <w:rPr>
          <w:rFonts w:cs="Arial"/>
          <w:b/>
          <w:sz w:val="16"/>
          <w:szCs w:val="16"/>
          <w:lang w:val="es-CO"/>
        </w:rPr>
        <w:t>.5.</w:t>
      </w:r>
      <w:r w:rsidR="00AC54DE" w:rsidRPr="13166FB8">
        <w:rPr>
          <w:rFonts w:cs="Arial"/>
          <w:b/>
          <w:bCs/>
          <w:sz w:val="16"/>
          <w:szCs w:val="16"/>
          <w:lang w:val="es-CO"/>
        </w:rPr>
        <w:t>5.</w:t>
      </w:r>
      <w:r w:rsidR="00AC54DE" w:rsidRPr="00AC54DE">
        <w:rPr>
          <w:rFonts w:cs="Arial"/>
          <w:b/>
          <w:sz w:val="16"/>
          <w:szCs w:val="16"/>
          <w:lang w:val="es-CO"/>
        </w:rPr>
        <w:t xml:space="preserve"> Seleccionar los distintos emisores, contrapartes y gestores de fondos, así como definir los cupos de inversión en ellos.</w:t>
      </w:r>
    </w:p>
    <w:p w14:paraId="727BDCDA"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4D47F80" w14:textId="129703D1" w:rsidR="00AC54DE" w:rsidRPr="00AC54DE" w:rsidRDefault="21336261" w:rsidP="00AC54DE">
      <w:pPr>
        <w:pStyle w:val="Prrafodelista"/>
        <w:pBdr>
          <w:left w:val="single" w:sz="4" w:space="4" w:color="auto"/>
        </w:pBdr>
        <w:ind w:left="0"/>
        <w:jc w:val="both"/>
        <w:rPr>
          <w:rFonts w:cs="Arial"/>
          <w:b/>
          <w:sz w:val="16"/>
          <w:szCs w:val="16"/>
          <w:lang w:val="es-CO"/>
        </w:rPr>
      </w:pPr>
      <w:r w:rsidRPr="25F2A575">
        <w:rPr>
          <w:rFonts w:cs="Arial"/>
          <w:b/>
          <w:bCs/>
          <w:sz w:val="16"/>
          <w:szCs w:val="16"/>
          <w:lang w:val="es-CO"/>
        </w:rPr>
        <w:t>3.5</w:t>
      </w:r>
      <w:r w:rsidR="00AC54DE" w:rsidRPr="00AC54DE">
        <w:rPr>
          <w:rFonts w:cs="Arial"/>
          <w:b/>
          <w:sz w:val="16"/>
          <w:szCs w:val="16"/>
          <w:lang w:val="es-CO"/>
        </w:rPr>
        <w:t xml:space="preserve">.6. </w:t>
      </w:r>
      <w:r w:rsidR="000046EF" w:rsidRPr="000046EF">
        <w:rPr>
          <w:rFonts w:cs="Arial"/>
          <w:b/>
          <w:sz w:val="16"/>
          <w:szCs w:val="16"/>
        </w:rPr>
        <w:t>Adoptar criterios para</w:t>
      </w:r>
      <w:r w:rsidR="000046EF" w:rsidRPr="4C06314D">
        <w:rPr>
          <w:rFonts w:cs="Arial"/>
          <w:sz w:val="16"/>
          <w:szCs w:val="16"/>
        </w:rPr>
        <w:t xml:space="preserve"> </w:t>
      </w:r>
      <w:r w:rsidR="00AC54DE" w:rsidRPr="00AC54DE">
        <w:rPr>
          <w:rFonts w:cs="Arial"/>
          <w:b/>
          <w:sz w:val="16"/>
          <w:szCs w:val="16"/>
          <w:lang w:val="es-CO"/>
        </w:rPr>
        <w:t xml:space="preserve">la adquisición de nuevas clases de activos, garantizando que se ajusten a las políticas de inversión y cumplan con los lineamientos legales. </w:t>
      </w:r>
    </w:p>
    <w:p w14:paraId="372BFEFB"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DE1C6D7" w14:textId="61A3083D" w:rsidR="00AC54DE" w:rsidRPr="00AC54DE" w:rsidRDefault="0E0B1AE0" w:rsidP="00AC54DE">
      <w:pPr>
        <w:pStyle w:val="Prrafodelista"/>
        <w:pBdr>
          <w:left w:val="single" w:sz="4" w:space="4" w:color="auto"/>
        </w:pBdr>
        <w:ind w:left="0"/>
        <w:jc w:val="both"/>
        <w:rPr>
          <w:rFonts w:cs="Arial"/>
          <w:b/>
          <w:sz w:val="16"/>
          <w:szCs w:val="16"/>
          <w:lang w:val="es-CO"/>
        </w:rPr>
      </w:pPr>
      <w:r w:rsidRPr="25F2A575">
        <w:rPr>
          <w:rFonts w:cs="Arial"/>
          <w:b/>
          <w:bCs/>
          <w:sz w:val="16"/>
          <w:szCs w:val="16"/>
          <w:lang w:val="es-CO"/>
        </w:rPr>
        <w:t>3</w:t>
      </w:r>
      <w:r w:rsidR="00AC54DE" w:rsidRPr="00AC54DE">
        <w:rPr>
          <w:rFonts w:cs="Arial"/>
          <w:b/>
          <w:sz w:val="16"/>
          <w:szCs w:val="16"/>
          <w:lang w:val="es-CO"/>
        </w:rPr>
        <w:t>.</w:t>
      </w:r>
      <w:r w:rsidRPr="0838CCC9">
        <w:rPr>
          <w:rFonts w:cs="Arial"/>
          <w:b/>
          <w:bCs/>
          <w:sz w:val="16"/>
          <w:szCs w:val="16"/>
          <w:lang w:val="es-CO"/>
        </w:rPr>
        <w:t>5.</w:t>
      </w:r>
      <w:r w:rsidR="00AC54DE" w:rsidRPr="00AC54DE">
        <w:rPr>
          <w:rFonts w:cs="Arial"/>
          <w:b/>
          <w:sz w:val="16"/>
          <w:szCs w:val="16"/>
          <w:lang w:val="es-CO"/>
        </w:rPr>
        <w:t>7. Efectuar seguimiento permanente al mercado con el fin de conocer sobre cualquier evento o contingencia que pudiera afectar la valoración del portafolio de inversiones, incluyendo lo relacionado con riesgos emergentes.</w:t>
      </w:r>
    </w:p>
    <w:p w14:paraId="4995EFE9"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18219444" w14:textId="16DFF429" w:rsidR="00AC54DE" w:rsidRPr="00AC54DE" w:rsidRDefault="5431D47F" w:rsidP="00AC54DE">
      <w:pPr>
        <w:pStyle w:val="Prrafodelista"/>
        <w:pBdr>
          <w:left w:val="single" w:sz="4" w:space="4" w:color="auto"/>
        </w:pBdr>
        <w:ind w:left="0"/>
        <w:jc w:val="both"/>
        <w:rPr>
          <w:rFonts w:cs="Arial"/>
          <w:b/>
          <w:sz w:val="16"/>
          <w:szCs w:val="16"/>
          <w:lang w:val="es-CO"/>
        </w:rPr>
      </w:pPr>
      <w:r w:rsidRPr="0838CCC9">
        <w:rPr>
          <w:rFonts w:cs="Arial"/>
          <w:b/>
          <w:bCs/>
          <w:sz w:val="16"/>
          <w:szCs w:val="16"/>
          <w:lang w:val="es-CO"/>
        </w:rPr>
        <w:t>3.</w:t>
      </w:r>
      <w:r w:rsidRPr="1656FA1F">
        <w:rPr>
          <w:rFonts w:cs="Arial"/>
          <w:b/>
          <w:bCs/>
          <w:sz w:val="16"/>
          <w:szCs w:val="16"/>
          <w:lang w:val="es-CO"/>
        </w:rPr>
        <w:t>5</w:t>
      </w:r>
      <w:r w:rsidR="00AC54DE" w:rsidRPr="00AC54DE">
        <w:rPr>
          <w:rFonts w:cs="Arial"/>
          <w:b/>
          <w:sz w:val="16"/>
          <w:szCs w:val="16"/>
          <w:lang w:val="es-CO"/>
        </w:rPr>
        <w:t>.8. Efectuar control y seguimiento al cumplimiento de las políticas de inversión, en relación con las condiciones que deben cumplir las inversiones y presentar ante la junta directiva por lo menos una vez al mes un informe sobre el particular.</w:t>
      </w:r>
    </w:p>
    <w:p w14:paraId="5B41A747"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00BB3FF0" w14:textId="351A54E0" w:rsidR="00AC54DE" w:rsidRPr="00AC54DE" w:rsidRDefault="78AE181E" w:rsidP="00AC54DE">
      <w:pPr>
        <w:pStyle w:val="Prrafodelista"/>
        <w:pBdr>
          <w:left w:val="single" w:sz="4" w:space="4" w:color="auto"/>
        </w:pBdr>
        <w:ind w:left="0"/>
        <w:jc w:val="both"/>
        <w:rPr>
          <w:rFonts w:cs="Arial"/>
          <w:b/>
          <w:sz w:val="16"/>
          <w:szCs w:val="16"/>
          <w:lang w:val="es-CO"/>
        </w:rPr>
      </w:pPr>
      <w:r w:rsidRPr="1656FA1F">
        <w:rPr>
          <w:rFonts w:cs="Arial"/>
          <w:b/>
          <w:bCs/>
          <w:sz w:val="16"/>
          <w:szCs w:val="16"/>
          <w:lang w:val="es-CO"/>
        </w:rPr>
        <w:t>3.5</w:t>
      </w:r>
      <w:r w:rsidR="00AC54DE" w:rsidRPr="00AC54DE">
        <w:rPr>
          <w:rFonts w:cs="Arial"/>
          <w:b/>
          <w:sz w:val="16"/>
          <w:szCs w:val="16"/>
          <w:lang w:val="es-CO"/>
        </w:rPr>
        <w:t xml:space="preserve">.9. Monitorear los límites de inversión internos y legales, y la posición en riesgo del portafolio de inversiones. </w:t>
      </w:r>
    </w:p>
    <w:p w14:paraId="2A90984E"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082FB212" w14:textId="639454DA" w:rsidR="00AC54DE" w:rsidRPr="00AC54DE" w:rsidRDefault="27EDF05C" w:rsidP="00AC54DE">
      <w:pPr>
        <w:pStyle w:val="Prrafodelista"/>
        <w:pBdr>
          <w:left w:val="single" w:sz="4" w:space="4" w:color="auto"/>
        </w:pBdr>
        <w:ind w:left="0"/>
        <w:jc w:val="both"/>
        <w:rPr>
          <w:rFonts w:cs="Arial"/>
          <w:b/>
          <w:sz w:val="16"/>
          <w:szCs w:val="16"/>
          <w:lang w:val="es-CO"/>
        </w:rPr>
      </w:pPr>
      <w:r w:rsidRPr="1656FA1F">
        <w:rPr>
          <w:rFonts w:cs="Arial"/>
          <w:b/>
          <w:bCs/>
          <w:sz w:val="16"/>
          <w:szCs w:val="16"/>
          <w:lang w:val="es-CO"/>
        </w:rPr>
        <w:t>3.</w:t>
      </w:r>
      <w:r w:rsidRPr="268A742B">
        <w:rPr>
          <w:rFonts w:cs="Arial"/>
          <w:b/>
          <w:bCs/>
          <w:sz w:val="16"/>
          <w:szCs w:val="16"/>
          <w:lang w:val="es-CO"/>
        </w:rPr>
        <w:t>5.</w:t>
      </w:r>
      <w:r w:rsidR="00AC54DE" w:rsidRPr="268A742B">
        <w:rPr>
          <w:rFonts w:cs="Arial"/>
          <w:b/>
          <w:bCs/>
          <w:sz w:val="16"/>
          <w:szCs w:val="16"/>
          <w:lang w:val="es-CO"/>
        </w:rPr>
        <w:t>10.</w:t>
      </w:r>
      <w:r w:rsidR="00AC54DE" w:rsidRPr="00AC54DE">
        <w:rPr>
          <w:rFonts w:cs="Arial"/>
          <w:b/>
          <w:sz w:val="16"/>
          <w:szCs w:val="16"/>
          <w:lang w:val="es-CO"/>
        </w:rPr>
        <w:t xml:space="preserve"> Aprobar los reportes para monitorear el cumplimiento de las políticas de administración o gestión de riesgos inherentes a la actividad de inversión. </w:t>
      </w:r>
    </w:p>
    <w:p w14:paraId="28CF115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AD888DD" w14:textId="1F43A5C2" w:rsidR="00AC54DE" w:rsidRPr="00AC54DE" w:rsidRDefault="33D83EAF" w:rsidP="00AC54DE">
      <w:pPr>
        <w:pStyle w:val="Prrafodelista"/>
        <w:pBdr>
          <w:left w:val="single" w:sz="4" w:space="4" w:color="auto"/>
        </w:pBdr>
        <w:ind w:left="0"/>
        <w:jc w:val="both"/>
        <w:rPr>
          <w:rFonts w:cs="Arial"/>
          <w:b/>
          <w:sz w:val="16"/>
          <w:szCs w:val="16"/>
          <w:lang w:val="es-CO"/>
        </w:rPr>
      </w:pPr>
      <w:r w:rsidRPr="268A742B">
        <w:rPr>
          <w:rFonts w:cs="Arial"/>
          <w:b/>
          <w:bCs/>
          <w:sz w:val="16"/>
          <w:szCs w:val="16"/>
          <w:lang w:val="es-CO"/>
        </w:rPr>
        <w:t>3.</w:t>
      </w:r>
      <w:r w:rsidRPr="7DA71134">
        <w:rPr>
          <w:rFonts w:cs="Arial"/>
          <w:b/>
          <w:bCs/>
          <w:sz w:val="16"/>
          <w:szCs w:val="16"/>
          <w:lang w:val="es-CO"/>
        </w:rPr>
        <w:t>5.</w:t>
      </w:r>
      <w:r w:rsidR="00AC54DE" w:rsidRPr="7DA71134">
        <w:rPr>
          <w:rFonts w:cs="Arial"/>
          <w:b/>
          <w:bCs/>
          <w:sz w:val="16"/>
          <w:szCs w:val="16"/>
          <w:lang w:val="es-CO"/>
        </w:rPr>
        <w:t>11.</w:t>
      </w:r>
      <w:r w:rsidR="00AC54DE" w:rsidRPr="00AC54DE">
        <w:rPr>
          <w:rFonts w:cs="Arial"/>
          <w:b/>
          <w:sz w:val="16"/>
          <w:szCs w:val="16"/>
          <w:lang w:val="es-CO"/>
        </w:rPr>
        <w:t xml:space="preserve"> Presentar a la junta directiva para su aprobación el procedimiento a seguir en caso de incumplimiento a los límites de inversión internos y legales y a los límites de exposición a los riesgos inherentes a la actividad de inversión, las medidas a aplicar en tales casos, el mecanismo de información a la junta directiva sobre los citados eventos, y hacer seguimiento a dicho procedimiento.</w:t>
      </w:r>
    </w:p>
    <w:p w14:paraId="5007511A"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43BF273A" w14:textId="3409F443" w:rsidR="00AC54DE" w:rsidRPr="00AC54DE" w:rsidRDefault="24F763DD" w:rsidP="00AC54DE">
      <w:pPr>
        <w:pStyle w:val="Prrafodelista"/>
        <w:pBdr>
          <w:left w:val="single" w:sz="4" w:space="4" w:color="auto"/>
        </w:pBdr>
        <w:ind w:left="0"/>
        <w:jc w:val="both"/>
        <w:rPr>
          <w:rFonts w:cs="Arial"/>
          <w:b/>
          <w:sz w:val="16"/>
          <w:szCs w:val="16"/>
          <w:lang w:val="es-CO"/>
        </w:rPr>
      </w:pPr>
      <w:r w:rsidRPr="7DA71134">
        <w:rPr>
          <w:rFonts w:cs="Arial"/>
          <w:b/>
          <w:bCs/>
          <w:sz w:val="16"/>
          <w:szCs w:val="16"/>
          <w:lang w:val="es-CO"/>
        </w:rPr>
        <w:t>3.5.</w:t>
      </w:r>
      <w:r w:rsidR="00AC54DE" w:rsidRPr="00AC54DE">
        <w:rPr>
          <w:rFonts w:cs="Arial"/>
          <w:b/>
          <w:sz w:val="16"/>
          <w:szCs w:val="16"/>
          <w:lang w:val="es-CO"/>
        </w:rPr>
        <w:t>12. En relación con los conflictos de interés, el comité deberá (i) presentar ante la junta directiva para su respectiva aprobación, las políticas para su gestión en el proceso de selección y negociación de inversiones y de abstención de operaciones que den lugar a potenciales conflictos y (ii) analizar las situaciones relativas a los potenciales conflictos de interés relacionados con el proceso de inversión y su tratamiento, dejando constancia de los temas discutidos.</w:t>
      </w:r>
    </w:p>
    <w:p w14:paraId="1750B6E3"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DE6DE10" w14:textId="760258AA" w:rsidR="00AC54DE" w:rsidRPr="00AC54DE" w:rsidRDefault="7E5755DC" w:rsidP="00AC54DE">
      <w:pPr>
        <w:pStyle w:val="Prrafodelista"/>
        <w:pBdr>
          <w:left w:val="single" w:sz="4" w:space="4" w:color="auto"/>
        </w:pBdr>
        <w:ind w:left="0"/>
        <w:jc w:val="both"/>
        <w:rPr>
          <w:rFonts w:cs="Arial"/>
          <w:b/>
          <w:sz w:val="16"/>
          <w:szCs w:val="16"/>
          <w:lang w:val="es-CO"/>
        </w:rPr>
      </w:pPr>
      <w:r w:rsidRPr="0C81B896">
        <w:rPr>
          <w:rFonts w:cs="Arial"/>
          <w:b/>
          <w:bCs/>
          <w:sz w:val="16"/>
          <w:szCs w:val="16"/>
          <w:lang w:val="es-CO"/>
        </w:rPr>
        <w:lastRenderedPageBreak/>
        <w:t>3.5</w:t>
      </w:r>
      <w:r w:rsidR="00AC54DE" w:rsidRPr="00AC54DE">
        <w:rPr>
          <w:rFonts w:cs="Arial"/>
          <w:b/>
          <w:sz w:val="16"/>
          <w:szCs w:val="16"/>
          <w:lang w:val="es-CO"/>
        </w:rPr>
        <w:t>.1</w:t>
      </w:r>
      <w:r w:rsidR="002562F2">
        <w:rPr>
          <w:rFonts w:cs="Arial"/>
          <w:b/>
          <w:sz w:val="16"/>
          <w:szCs w:val="16"/>
          <w:lang w:val="es-CO"/>
        </w:rPr>
        <w:t>3</w:t>
      </w:r>
      <w:r w:rsidR="00AC54DE" w:rsidRPr="00AC54DE">
        <w:rPr>
          <w:rFonts w:cs="Arial"/>
          <w:b/>
          <w:sz w:val="16"/>
          <w:szCs w:val="16"/>
          <w:lang w:val="es-CO"/>
        </w:rPr>
        <w:t>. Preparar los análisis y recomendaciones que consideren necesarias, relacionadas con las condiciones que deben cumplir las inversiones y demás operaciones a realizar con los activos, para que la junta directiva las tenga en cuenta en la definición de las políticas de inversión.</w:t>
      </w:r>
    </w:p>
    <w:p w14:paraId="0CE1C5BC"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4C6B806F" w14:textId="36B4B5C7" w:rsidR="00AC54DE" w:rsidRPr="00AC54DE" w:rsidRDefault="3DF821D3" w:rsidP="00AC54DE">
      <w:pPr>
        <w:pStyle w:val="Prrafodelista"/>
        <w:pBdr>
          <w:left w:val="single" w:sz="4" w:space="4" w:color="auto"/>
        </w:pBdr>
        <w:ind w:left="0"/>
        <w:jc w:val="both"/>
        <w:rPr>
          <w:rFonts w:cs="Arial"/>
          <w:b/>
          <w:sz w:val="16"/>
          <w:szCs w:val="16"/>
          <w:lang w:val="es-CO"/>
        </w:rPr>
      </w:pPr>
      <w:r w:rsidRPr="65DADE5B">
        <w:rPr>
          <w:rFonts w:cs="Arial"/>
          <w:b/>
          <w:bCs/>
          <w:sz w:val="16"/>
          <w:szCs w:val="16"/>
          <w:lang w:val="es-CO"/>
        </w:rPr>
        <w:t>3.5</w:t>
      </w:r>
      <w:r w:rsidR="00AC54DE" w:rsidRPr="00AC54DE">
        <w:rPr>
          <w:rFonts w:cs="Arial"/>
          <w:b/>
          <w:sz w:val="16"/>
          <w:szCs w:val="16"/>
          <w:lang w:val="es-CO"/>
        </w:rPr>
        <w:t>.1</w:t>
      </w:r>
      <w:r w:rsidR="002562F2">
        <w:rPr>
          <w:rFonts w:cs="Arial"/>
          <w:b/>
          <w:sz w:val="16"/>
          <w:szCs w:val="16"/>
          <w:lang w:val="es-CO"/>
        </w:rPr>
        <w:t>4</w:t>
      </w:r>
      <w:r w:rsidR="00AC54DE" w:rsidRPr="00AC54DE">
        <w:rPr>
          <w:rFonts w:cs="Arial"/>
          <w:b/>
          <w:sz w:val="16"/>
          <w:szCs w:val="16"/>
          <w:lang w:val="es-CO"/>
        </w:rPr>
        <w:t xml:space="preserve">. Someter a consideración de la junta directiva la relación riesgo-retorno prevista para las inversiones. </w:t>
      </w:r>
    </w:p>
    <w:p w14:paraId="532AF292"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2759B494" w14:textId="33F74D0E" w:rsidR="00AC54DE" w:rsidRPr="00AC54DE" w:rsidRDefault="22CE4C5B" w:rsidP="00AC54DE">
      <w:pPr>
        <w:pStyle w:val="Prrafodelista"/>
        <w:pBdr>
          <w:left w:val="single" w:sz="4" w:space="4" w:color="auto"/>
        </w:pBdr>
        <w:ind w:left="0"/>
        <w:jc w:val="both"/>
        <w:rPr>
          <w:rFonts w:cs="Arial"/>
          <w:b/>
          <w:sz w:val="16"/>
          <w:szCs w:val="16"/>
          <w:lang w:val="es-CO"/>
        </w:rPr>
      </w:pPr>
      <w:r w:rsidRPr="23FBAB20">
        <w:rPr>
          <w:rFonts w:cs="Arial"/>
          <w:b/>
          <w:bCs/>
          <w:sz w:val="16"/>
          <w:szCs w:val="16"/>
          <w:lang w:val="es-CO"/>
        </w:rPr>
        <w:t>3.5</w:t>
      </w:r>
      <w:r w:rsidR="00AC54DE" w:rsidRPr="00AC54DE">
        <w:rPr>
          <w:rFonts w:cs="Arial"/>
          <w:b/>
          <w:sz w:val="16"/>
          <w:szCs w:val="16"/>
          <w:lang w:val="es-CO"/>
        </w:rPr>
        <w:t>.1</w:t>
      </w:r>
      <w:r w:rsidR="002562F2">
        <w:rPr>
          <w:rFonts w:cs="Arial"/>
          <w:b/>
          <w:sz w:val="16"/>
          <w:szCs w:val="16"/>
          <w:lang w:val="es-CO"/>
        </w:rPr>
        <w:t>5</w:t>
      </w:r>
      <w:r w:rsidR="00AC54DE" w:rsidRPr="00AC54DE">
        <w:rPr>
          <w:rFonts w:cs="Arial"/>
          <w:b/>
          <w:sz w:val="16"/>
          <w:szCs w:val="16"/>
          <w:lang w:val="es-CO"/>
        </w:rPr>
        <w:t>. Proponer a la junta directiva el procedimiento para evaluar el desempeño en la gestión de las inversiones.</w:t>
      </w:r>
    </w:p>
    <w:p w14:paraId="37715CB2" w14:textId="2B124FC3" w:rsidR="00AC54DE" w:rsidRPr="00AC54DE" w:rsidRDefault="00AC54DE" w:rsidP="00AC54DE">
      <w:pPr>
        <w:pStyle w:val="Prrafodelista"/>
        <w:pBdr>
          <w:left w:val="single" w:sz="4" w:space="4" w:color="auto"/>
        </w:pBdr>
        <w:ind w:left="0"/>
        <w:jc w:val="both"/>
        <w:rPr>
          <w:rFonts w:cs="Arial"/>
          <w:b/>
          <w:sz w:val="16"/>
          <w:szCs w:val="16"/>
          <w:lang w:val="es-CO"/>
        </w:rPr>
      </w:pPr>
    </w:p>
    <w:p w14:paraId="333E651F" w14:textId="2B124FC3" w:rsidR="00AC54DE" w:rsidRPr="00AC54DE" w:rsidRDefault="002562F2" w:rsidP="00AC54DE">
      <w:pPr>
        <w:pStyle w:val="Prrafodelista"/>
        <w:pBdr>
          <w:left w:val="single" w:sz="4" w:space="4" w:color="auto"/>
        </w:pBdr>
        <w:ind w:left="0"/>
        <w:jc w:val="both"/>
        <w:rPr>
          <w:rFonts w:cs="Arial"/>
          <w:b/>
          <w:sz w:val="16"/>
          <w:szCs w:val="16"/>
          <w:lang w:val="es-CO"/>
        </w:rPr>
      </w:pPr>
      <w:r>
        <w:rPr>
          <w:rFonts w:cs="Arial"/>
          <w:b/>
          <w:bCs/>
          <w:sz w:val="16"/>
          <w:szCs w:val="16"/>
          <w:lang w:val="es-CO"/>
        </w:rPr>
        <w:t>3</w:t>
      </w:r>
      <w:r w:rsidR="3FDD5E15" w:rsidRPr="504443D2">
        <w:rPr>
          <w:rFonts w:cs="Arial"/>
          <w:b/>
          <w:bCs/>
          <w:sz w:val="16"/>
          <w:szCs w:val="16"/>
          <w:lang w:val="es-CO"/>
        </w:rPr>
        <w:t>.5</w:t>
      </w:r>
      <w:r w:rsidR="00AC54DE" w:rsidRPr="00AC54DE">
        <w:rPr>
          <w:rFonts w:cs="Arial"/>
          <w:b/>
          <w:sz w:val="16"/>
          <w:szCs w:val="16"/>
          <w:lang w:val="es-CO"/>
        </w:rPr>
        <w:t>.</w:t>
      </w:r>
      <w:r>
        <w:rPr>
          <w:rFonts w:cs="Arial"/>
          <w:b/>
          <w:sz w:val="16"/>
          <w:szCs w:val="16"/>
          <w:lang w:val="es-CO"/>
        </w:rPr>
        <w:t>16</w:t>
      </w:r>
      <w:r w:rsidR="00AC54DE" w:rsidRPr="00AC54DE">
        <w:rPr>
          <w:rFonts w:cs="Arial"/>
          <w:b/>
          <w:sz w:val="16"/>
          <w:szCs w:val="16"/>
          <w:lang w:val="es-CO"/>
        </w:rPr>
        <w:t xml:space="preserve">. Las demás que le asigne la junta directiva de la </w:t>
      </w:r>
      <w:r w:rsidR="00CD49C1">
        <w:rPr>
          <w:rFonts w:cs="Arial"/>
          <w:b/>
          <w:sz w:val="16"/>
          <w:szCs w:val="16"/>
          <w:lang w:val="es-CO"/>
        </w:rPr>
        <w:t>sociedad de capitalización</w:t>
      </w:r>
      <w:r w:rsidR="00AC54DE" w:rsidRPr="00AC54DE">
        <w:rPr>
          <w:rFonts w:cs="Arial"/>
          <w:b/>
          <w:sz w:val="16"/>
          <w:szCs w:val="16"/>
          <w:lang w:val="es-CO"/>
        </w:rPr>
        <w:t>.</w:t>
      </w:r>
    </w:p>
    <w:p w14:paraId="7BBA1BA4" w14:textId="2B124FC3" w:rsidR="00AC54DE" w:rsidRPr="00AC54DE" w:rsidRDefault="00AC54DE" w:rsidP="00AC54DE">
      <w:pPr>
        <w:pStyle w:val="Prrafodelista"/>
        <w:pBdr>
          <w:left w:val="single" w:sz="4" w:space="4" w:color="auto"/>
        </w:pBdr>
        <w:ind w:left="0"/>
        <w:jc w:val="both"/>
        <w:rPr>
          <w:rFonts w:cs="Arial"/>
          <w:b/>
          <w:sz w:val="16"/>
          <w:szCs w:val="16"/>
          <w:lang w:val="es-CO"/>
        </w:rPr>
      </w:pPr>
    </w:p>
    <w:p w14:paraId="2DC36A6D" w14:textId="2B124FC3"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6692D58D" w:rsidRPr="198E9AE1">
        <w:rPr>
          <w:rFonts w:cs="Arial"/>
          <w:b/>
          <w:bCs/>
          <w:sz w:val="16"/>
          <w:szCs w:val="16"/>
          <w:lang w:val="es-CO"/>
        </w:rPr>
        <w:t>6.</w:t>
      </w:r>
      <w:r w:rsidRPr="00AC54DE">
        <w:rPr>
          <w:rFonts w:cs="Arial"/>
          <w:b/>
          <w:sz w:val="16"/>
          <w:szCs w:val="16"/>
          <w:lang w:val="es-CO"/>
        </w:rPr>
        <w:t xml:space="preserve"> Funciones de la auditoría interna</w:t>
      </w:r>
    </w:p>
    <w:p w14:paraId="3CD69736" w14:textId="2B124FC3" w:rsidR="00AC54DE" w:rsidRPr="00AC54DE" w:rsidRDefault="00AC54DE" w:rsidP="00AC54DE">
      <w:pPr>
        <w:pStyle w:val="Prrafodelista"/>
        <w:pBdr>
          <w:left w:val="single" w:sz="4" w:space="4" w:color="auto"/>
        </w:pBdr>
        <w:ind w:left="0"/>
        <w:jc w:val="both"/>
        <w:rPr>
          <w:rFonts w:cs="Arial"/>
          <w:b/>
          <w:sz w:val="16"/>
          <w:szCs w:val="16"/>
          <w:lang w:val="es-CO"/>
        </w:rPr>
      </w:pPr>
    </w:p>
    <w:p w14:paraId="0F73D4A0" w14:textId="77777777"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 xml:space="preserve">Serán funciones de la auditoría interna de la </w:t>
      </w:r>
      <w:r w:rsidR="00CD49C1">
        <w:rPr>
          <w:rFonts w:cs="Arial"/>
          <w:b/>
          <w:sz w:val="16"/>
          <w:szCs w:val="16"/>
          <w:lang w:val="es-CO"/>
        </w:rPr>
        <w:t>sociedad de capitalización</w:t>
      </w:r>
      <w:r w:rsidRPr="00AC54DE">
        <w:rPr>
          <w:rFonts w:cs="Arial"/>
          <w:b/>
          <w:sz w:val="16"/>
          <w:szCs w:val="16"/>
          <w:lang w:val="es-CO"/>
        </w:rPr>
        <w:t>, en relación con la política de inversión, las siguientes:</w:t>
      </w:r>
    </w:p>
    <w:p w14:paraId="69B0C814" w14:textId="77777777" w:rsidR="00AC54DE" w:rsidRPr="00AC54DE" w:rsidRDefault="00AC54DE" w:rsidP="00AC54DE">
      <w:pPr>
        <w:pStyle w:val="Prrafodelista"/>
        <w:pBdr>
          <w:left w:val="single" w:sz="4" w:space="4" w:color="auto"/>
        </w:pBdr>
        <w:ind w:left="0"/>
        <w:jc w:val="both"/>
        <w:rPr>
          <w:rFonts w:cs="Arial"/>
          <w:b/>
          <w:sz w:val="16"/>
          <w:szCs w:val="16"/>
          <w:lang w:val="es-CO"/>
        </w:rPr>
      </w:pPr>
    </w:p>
    <w:p w14:paraId="3DF88BD2" w14:textId="4D470F4E" w:rsid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47A4A882" w:rsidRPr="17D4454E">
        <w:rPr>
          <w:rFonts w:cs="Arial"/>
          <w:b/>
          <w:bCs/>
          <w:sz w:val="16"/>
          <w:szCs w:val="16"/>
          <w:lang w:val="es-CO"/>
        </w:rPr>
        <w:t>.6</w:t>
      </w:r>
      <w:r w:rsidRPr="00AC54DE">
        <w:rPr>
          <w:rFonts w:cs="Arial"/>
          <w:b/>
          <w:sz w:val="16"/>
          <w:szCs w:val="16"/>
          <w:lang w:val="es-CO"/>
        </w:rPr>
        <w:t xml:space="preserve">.1 Evaluar al menos una vez al año el cumplimiento de la política de inversión o cuando se presenten situaciones que requieran su revisión e informar al comité de riesgos, al representante legal, al comité de auditoría y a la </w:t>
      </w:r>
      <w:r w:rsidR="000046EF">
        <w:rPr>
          <w:rFonts w:cs="Arial"/>
          <w:b/>
          <w:sz w:val="16"/>
          <w:szCs w:val="16"/>
          <w:lang w:val="es-CO"/>
        </w:rPr>
        <w:t>junta directiva</w:t>
      </w:r>
      <w:r w:rsidRPr="00AC54DE">
        <w:rPr>
          <w:rFonts w:cs="Arial"/>
          <w:b/>
          <w:sz w:val="16"/>
          <w:szCs w:val="16"/>
          <w:lang w:val="es-CO"/>
        </w:rPr>
        <w:t xml:space="preserve"> los resultados de dicha evaluación</w:t>
      </w:r>
      <w:r>
        <w:rPr>
          <w:rFonts w:cs="Arial"/>
          <w:b/>
          <w:sz w:val="16"/>
          <w:szCs w:val="16"/>
          <w:lang w:val="es-CO"/>
        </w:rPr>
        <w:t>.</w:t>
      </w:r>
    </w:p>
    <w:p w14:paraId="0318C7FE" w14:textId="77777777" w:rsidR="00CD49C1" w:rsidRPr="00AC54DE" w:rsidRDefault="00CD49C1" w:rsidP="00AC54DE">
      <w:pPr>
        <w:pStyle w:val="Prrafodelista"/>
        <w:pBdr>
          <w:left w:val="single" w:sz="4" w:space="4" w:color="auto"/>
        </w:pBdr>
        <w:ind w:left="0"/>
        <w:jc w:val="both"/>
        <w:rPr>
          <w:rFonts w:cs="Arial"/>
          <w:b/>
          <w:sz w:val="16"/>
          <w:szCs w:val="16"/>
          <w:lang w:val="es-CO"/>
        </w:rPr>
      </w:pPr>
    </w:p>
    <w:p w14:paraId="68BD0070" w14:textId="67933378" w:rsidR="00AC54DE" w:rsidRPr="00AC54DE" w:rsidRDefault="00AC54DE" w:rsidP="00AC54DE">
      <w:pPr>
        <w:pStyle w:val="Prrafodelista"/>
        <w:pBdr>
          <w:left w:val="single" w:sz="4" w:space="4" w:color="auto"/>
        </w:pBdr>
        <w:ind w:left="0"/>
        <w:jc w:val="both"/>
        <w:rPr>
          <w:rFonts w:cs="Arial"/>
          <w:b/>
          <w:sz w:val="16"/>
          <w:szCs w:val="16"/>
          <w:lang w:val="es-CO"/>
        </w:rPr>
      </w:pPr>
      <w:r w:rsidRPr="00AC54DE">
        <w:rPr>
          <w:rFonts w:cs="Arial"/>
          <w:b/>
          <w:sz w:val="16"/>
          <w:szCs w:val="16"/>
          <w:lang w:val="es-CO"/>
        </w:rPr>
        <w:t>3</w:t>
      </w:r>
      <w:r w:rsidR="5BBFF868" w:rsidRPr="17D4454E">
        <w:rPr>
          <w:rFonts w:cs="Arial"/>
          <w:b/>
          <w:bCs/>
          <w:sz w:val="16"/>
          <w:szCs w:val="16"/>
          <w:lang w:val="es-CO"/>
        </w:rPr>
        <w:t>.6</w:t>
      </w:r>
      <w:r w:rsidRPr="00AC54DE">
        <w:rPr>
          <w:rFonts w:cs="Arial"/>
          <w:b/>
          <w:sz w:val="16"/>
          <w:szCs w:val="16"/>
          <w:lang w:val="es-CO"/>
        </w:rPr>
        <w:t xml:space="preserve">.2 </w:t>
      </w:r>
      <w:r w:rsidR="0053240D" w:rsidRPr="0053240D">
        <w:rPr>
          <w:rFonts w:cs="Arial"/>
          <w:b/>
          <w:sz w:val="16"/>
          <w:szCs w:val="16"/>
          <w:lang w:val="es-CO"/>
        </w:rPr>
        <w:t>Realizar el seguimiento a las recomendaciones o fallas identificadas en la política de inversión y la asignación estratégica de activos que resulten de la propia auditoría interna, así como de los planes de acción y medidas adoptadas por la entidad. Igualmente, realizar el seguimiento a las órdenes que le imparta la SFC.</w:t>
      </w:r>
    </w:p>
    <w:p w14:paraId="61EFDFDF" w14:textId="19C6051B" w:rsidR="00AC54DE" w:rsidRDefault="00AC54DE" w:rsidP="008F1973">
      <w:pPr>
        <w:pStyle w:val="Prrafodelista"/>
        <w:pBdr>
          <w:left w:val="single" w:sz="4" w:space="4" w:color="auto"/>
        </w:pBdr>
        <w:ind w:left="0"/>
        <w:jc w:val="both"/>
        <w:rPr>
          <w:b/>
          <w:szCs w:val="24"/>
        </w:rPr>
      </w:pPr>
    </w:p>
    <w:p w14:paraId="3AEFDB1F" w14:textId="401AD563" w:rsidR="008F1973" w:rsidRPr="00EE2660" w:rsidRDefault="00A60BB1" w:rsidP="008F1973">
      <w:pPr>
        <w:pStyle w:val="Prrafodelista"/>
        <w:pBdr>
          <w:left w:val="single" w:sz="4" w:space="4" w:color="auto"/>
        </w:pBdr>
        <w:ind w:left="0"/>
        <w:jc w:val="both"/>
        <w:rPr>
          <w:rFonts w:cs="Arial"/>
          <w:b/>
          <w:sz w:val="16"/>
          <w:szCs w:val="16"/>
        </w:rPr>
      </w:pPr>
      <w:r>
        <w:rPr>
          <w:rFonts w:cs="Arial"/>
          <w:b/>
          <w:sz w:val="16"/>
          <w:szCs w:val="16"/>
        </w:rPr>
        <w:t>3</w:t>
      </w:r>
      <w:r w:rsidR="008F1973" w:rsidRPr="00EE2660">
        <w:rPr>
          <w:rFonts w:cs="Arial"/>
          <w:b/>
          <w:sz w:val="16"/>
          <w:szCs w:val="16"/>
        </w:rPr>
        <w:t>.</w:t>
      </w:r>
      <w:r w:rsidR="6745A119" w:rsidRPr="7CE1DF5A">
        <w:rPr>
          <w:rFonts w:cs="Arial"/>
          <w:b/>
          <w:bCs/>
          <w:sz w:val="16"/>
          <w:szCs w:val="16"/>
        </w:rPr>
        <w:t>7</w:t>
      </w:r>
      <w:r w:rsidR="008F1973" w:rsidRPr="00EE2660">
        <w:rPr>
          <w:rFonts w:cs="Arial"/>
          <w:b/>
          <w:sz w:val="16"/>
          <w:szCs w:val="16"/>
        </w:rPr>
        <w:t xml:space="preserve"> Control de límites de inversión</w:t>
      </w:r>
    </w:p>
    <w:p w14:paraId="1EB60736" w14:textId="77777777" w:rsidR="008F1973" w:rsidRPr="00EE2660" w:rsidRDefault="008F1973" w:rsidP="008F1973">
      <w:pPr>
        <w:pStyle w:val="Prrafodelista"/>
        <w:pBdr>
          <w:left w:val="single" w:sz="4" w:space="4" w:color="auto"/>
        </w:pBdr>
        <w:ind w:left="0"/>
        <w:jc w:val="both"/>
        <w:rPr>
          <w:rFonts w:cs="Arial"/>
          <w:b/>
          <w:sz w:val="16"/>
          <w:szCs w:val="16"/>
        </w:rPr>
      </w:pPr>
    </w:p>
    <w:p w14:paraId="02936027" w14:textId="74FB81ED" w:rsidR="00D729AA" w:rsidRDefault="00D729AA" w:rsidP="00D729AA">
      <w:pPr>
        <w:pStyle w:val="Prrafodelista"/>
        <w:pBdr>
          <w:left w:val="single" w:sz="4" w:space="4" w:color="auto"/>
        </w:pBdr>
        <w:ind w:left="0"/>
        <w:jc w:val="both"/>
        <w:rPr>
          <w:rFonts w:cs="Arial"/>
          <w:b/>
          <w:color w:val="000000" w:themeColor="text1"/>
          <w:sz w:val="16"/>
          <w:szCs w:val="16"/>
        </w:rPr>
      </w:pPr>
      <w:r w:rsidRPr="00551423">
        <w:rPr>
          <w:rFonts w:cs="Arial"/>
          <w:b/>
          <w:color w:val="000000" w:themeColor="text1"/>
          <w:sz w:val="16"/>
          <w:szCs w:val="16"/>
        </w:rPr>
        <w:t>Las</w:t>
      </w:r>
      <w:r w:rsidR="00157842" w:rsidRPr="00551423">
        <w:rPr>
          <w:rFonts w:cs="Arial"/>
          <w:b/>
          <w:color w:val="000000" w:themeColor="text1"/>
          <w:sz w:val="16"/>
          <w:szCs w:val="16"/>
        </w:rPr>
        <w:t xml:space="preserve"> sociedades de capitalización</w:t>
      </w:r>
      <w:r w:rsidRPr="00551423">
        <w:rPr>
          <w:rFonts w:cs="Arial"/>
          <w:b/>
          <w:color w:val="000000" w:themeColor="text1"/>
          <w:sz w:val="16"/>
          <w:szCs w:val="16"/>
        </w:rPr>
        <w:t xml:space="preserve"> deben adoptar procesos y mecanismos que les permitan realizar el control de los límites de inversión tanto propios como legales, de manera que se dé cumplimiento a las disposiciones del artículo 2.31.3.1.1 y siguientes del Decreto 2555 de 2010.</w:t>
      </w:r>
    </w:p>
    <w:p w14:paraId="6FB44F04" w14:textId="73483846" w:rsidR="00F24D2F" w:rsidRDefault="00F24D2F" w:rsidP="00D729AA">
      <w:pPr>
        <w:pStyle w:val="Prrafodelista"/>
        <w:pBdr>
          <w:left w:val="single" w:sz="4" w:space="4" w:color="auto"/>
        </w:pBdr>
        <w:ind w:left="0"/>
        <w:jc w:val="both"/>
        <w:rPr>
          <w:rFonts w:cs="Arial"/>
          <w:b/>
          <w:color w:val="000000" w:themeColor="text1"/>
          <w:sz w:val="16"/>
          <w:szCs w:val="16"/>
        </w:rPr>
      </w:pPr>
    </w:p>
    <w:p w14:paraId="0D36863E" w14:textId="72F7595E" w:rsidR="00F24D2F" w:rsidRPr="00A70653" w:rsidRDefault="00F24D2F" w:rsidP="00A70653">
      <w:pPr>
        <w:pStyle w:val="Prrafodelista"/>
        <w:pBdr>
          <w:left w:val="single" w:sz="4" w:space="4" w:color="auto"/>
        </w:pBdr>
        <w:ind w:left="0"/>
        <w:jc w:val="both"/>
        <w:rPr>
          <w:rFonts w:cs="Arial"/>
          <w:b/>
          <w:color w:val="000000" w:themeColor="text1"/>
          <w:sz w:val="16"/>
          <w:szCs w:val="16"/>
        </w:rPr>
      </w:pPr>
      <w:r>
        <w:rPr>
          <w:rFonts w:cs="Arial"/>
          <w:b/>
          <w:color w:val="000000" w:themeColor="text1"/>
          <w:sz w:val="16"/>
          <w:szCs w:val="16"/>
        </w:rPr>
        <w:t xml:space="preserve">3.7.1 </w:t>
      </w:r>
      <w:r>
        <w:rPr>
          <w:b/>
          <w:bCs/>
          <w:sz w:val="16"/>
          <w:szCs w:val="16"/>
        </w:rPr>
        <w:t>Para el cumplimiento de los límites establecidos para las inversiones que respaldan las reservas técnicas de que trata el artículo 2.31.3.1.5 del Decreto 2555 de 2010</w:t>
      </w:r>
      <w:r w:rsidR="009071CD" w:rsidRPr="009071CD">
        <w:rPr>
          <w:rFonts w:cs="Arial"/>
          <w:b/>
          <w:sz w:val="16"/>
          <w:szCs w:val="16"/>
          <w:lang w:val="es-CO"/>
        </w:rPr>
        <w:t xml:space="preserve"> </w:t>
      </w:r>
      <w:r w:rsidR="009071CD">
        <w:rPr>
          <w:rFonts w:cs="Arial"/>
          <w:b/>
          <w:sz w:val="16"/>
          <w:szCs w:val="16"/>
          <w:lang w:val="es-CO"/>
        </w:rPr>
        <w:t>u otras disposiciones</w:t>
      </w:r>
      <w:r>
        <w:rPr>
          <w:b/>
          <w:bCs/>
          <w:sz w:val="16"/>
          <w:szCs w:val="16"/>
        </w:rPr>
        <w:t xml:space="preserve">, las sociedades de capitalización deben mantener actualizada la información respecto de la exposición de los vehículos de inversión </w:t>
      </w:r>
      <w:r w:rsidR="00935EB0">
        <w:rPr>
          <w:b/>
          <w:bCs/>
          <w:sz w:val="16"/>
          <w:szCs w:val="16"/>
        </w:rPr>
        <w:t>en</w:t>
      </w:r>
      <w:r>
        <w:rPr>
          <w:b/>
          <w:bCs/>
          <w:sz w:val="16"/>
          <w:szCs w:val="16"/>
        </w:rPr>
        <w:t xml:space="preserve"> activos considerados como alternativos. </w:t>
      </w:r>
    </w:p>
    <w:p w14:paraId="7FC8B98F" w14:textId="77777777" w:rsidR="00F24D2F" w:rsidRDefault="00F24D2F" w:rsidP="00F24D2F">
      <w:pPr>
        <w:pBdr>
          <w:left w:val="single" w:sz="4" w:space="4" w:color="auto"/>
        </w:pBdr>
        <w:jc w:val="both"/>
        <w:rPr>
          <w:b/>
          <w:bCs/>
          <w:sz w:val="16"/>
          <w:szCs w:val="16"/>
        </w:rPr>
      </w:pPr>
    </w:p>
    <w:p w14:paraId="5A77D41A" w14:textId="7072EA0C" w:rsidR="00D729AA" w:rsidRPr="008F2640" w:rsidRDefault="00F24D2F" w:rsidP="00D729AA">
      <w:pPr>
        <w:pBdr>
          <w:left w:val="single" w:sz="4" w:space="4" w:color="auto"/>
        </w:pBdr>
        <w:jc w:val="both"/>
        <w:rPr>
          <w:b/>
          <w:bCs/>
          <w:sz w:val="16"/>
          <w:szCs w:val="16"/>
        </w:rPr>
      </w:pPr>
      <w:r>
        <w:rPr>
          <w:b/>
          <w:bCs/>
          <w:sz w:val="16"/>
          <w:szCs w:val="16"/>
        </w:rPr>
        <w:t xml:space="preserve">En la determinación de la exposición a activos alternativos realizadas a través de fondos de fondos u otros vehículos de inversión, las sociedades de capitalización deben implementar un mecanismo que les permita determinar la exposición del fondo subyacente a estas inversiones. En el caso </w:t>
      </w:r>
      <w:r w:rsidR="006D0CED">
        <w:rPr>
          <w:b/>
          <w:bCs/>
          <w:sz w:val="16"/>
          <w:szCs w:val="16"/>
        </w:rPr>
        <w:t xml:space="preserve">de </w:t>
      </w:r>
      <w:r>
        <w:rPr>
          <w:b/>
          <w:bCs/>
          <w:sz w:val="16"/>
          <w:szCs w:val="16"/>
        </w:rPr>
        <w:t xml:space="preserve">que para el fondo subyacente no se cuente con información </w:t>
      </w:r>
      <w:r w:rsidR="001D5367">
        <w:rPr>
          <w:b/>
          <w:bCs/>
          <w:sz w:val="16"/>
          <w:szCs w:val="16"/>
        </w:rPr>
        <w:t>de los tres (3) meses anteriores</w:t>
      </w:r>
      <w:r>
        <w:rPr>
          <w:b/>
          <w:bCs/>
          <w:sz w:val="16"/>
          <w:szCs w:val="16"/>
        </w:rPr>
        <w:t xml:space="preserve">, la sociedad de capitalización debe tomar la máxima exposición permitida en este tipo de inversiones, según la política de inversión establecida en el reglamento. En la determinación de la exposición subyacente </w:t>
      </w:r>
      <w:r w:rsidR="00935EB0">
        <w:rPr>
          <w:b/>
          <w:bCs/>
          <w:sz w:val="16"/>
          <w:szCs w:val="16"/>
        </w:rPr>
        <w:t>en</w:t>
      </w:r>
      <w:r>
        <w:rPr>
          <w:b/>
          <w:bCs/>
          <w:sz w:val="16"/>
          <w:szCs w:val="16"/>
        </w:rPr>
        <w:t xml:space="preserve"> activos alternativos, el mecanismo debe definir el número de iteraciones necesarias para la medición de la exposición de la sociedad de capitalización.</w:t>
      </w:r>
    </w:p>
    <w:p w14:paraId="523A538F" w14:textId="5F715552" w:rsidR="0025389A" w:rsidRDefault="0025389A" w:rsidP="0025389A">
      <w:pPr>
        <w:ind w:right="51"/>
        <w:jc w:val="both"/>
        <w:rPr>
          <w:b/>
          <w:sz w:val="16"/>
          <w:szCs w:val="16"/>
          <w:lang w:val="es-CO"/>
        </w:rPr>
      </w:pPr>
    </w:p>
    <w:p w14:paraId="19E320BB" w14:textId="77777777" w:rsidR="008F2640" w:rsidRPr="008F1973" w:rsidRDefault="008F2640" w:rsidP="0025389A">
      <w:pPr>
        <w:ind w:right="51"/>
        <w:jc w:val="both"/>
        <w:rPr>
          <w:b/>
          <w:sz w:val="16"/>
          <w:szCs w:val="16"/>
          <w:lang w:val="es-CO"/>
        </w:rPr>
      </w:pPr>
    </w:p>
    <w:p w14:paraId="22A4845F" w14:textId="77777777" w:rsidR="0025389A" w:rsidRDefault="0025389A" w:rsidP="0025389A">
      <w:pPr>
        <w:pStyle w:val="Ttulo1"/>
        <w:spacing w:before="0" w:after="0"/>
      </w:pPr>
      <w:bookmarkStart w:id="7" w:name="_Toc263881113"/>
      <w:r w:rsidRPr="003D1446">
        <w:t>4.</w:t>
      </w:r>
      <w:r>
        <w:t xml:space="preserve"> NOTIFICACIÓN DE ENTREGA DE LOS RECURSOS</w:t>
      </w:r>
      <w:bookmarkEnd w:id="7"/>
    </w:p>
    <w:p w14:paraId="1C76E7D0" w14:textId="77777777" w:rsidR="0025389A" w:rsidRPr="003D1446" w:rsidRDefault="0025389A" w:rsidP="0025389A">
      <w:pPr>
        <w:ind w:right="51"/>
        <w:jc w:val="both"/>
        <w:rPr>
          <w:sz w:val="16"/>
          <w:szCs w:val="16"/>
        </w:rPr>
      </w:pPr>
    </w:p>
    <w:p w14:paraId="18A7CBFD" w14:textId="77777777" w:rsidR="0025389A" w:rsidRPr="005974F4" w:rsidRDefault="0025389A" w:rsidP="0025389A">
      <w:pPr>
        <w:jc w:val="both"/>
        <w:rPr>
          <w:b/>
          <w:sz w:val="16"/>
          <w:szCs w:val="16"/>
        </w:rPr>
      </w:pPr>
      <w:r w:rsidRPr="003D1446">
        <w:rPr>
          <w:sz w:val="16"/>
          <w:szCs w:val="16"/>
        </w:rPr>
        <w:t xml:space="preserve">Dentro de los 5 días siguientes a la fecha en que se venza o se rescinda un título debe enviarse a la última dirección registrada por el suscriptor, por una sola vez, 2 comunicaciones escritas con intervalos entre ellas de 60 días, indicando el saldo a su favor y las direcciones de las oficinas de la capitalizadora a las cuales pueda acercarse a reclamar su dinero. Así mismo, en dicha comunicación debe advertirse sobre el término de prescripción de acciones legales a que alude el numeral 4 del </w:t>
      </w:r>
      <w:r>
        <w:rPr>
          <w:sz w:val="16"/>
          <w:szCs w:val="16"/>
        </w:rPr>
        <w:t>art.</w:t>
      </w:r>
      <w:r w:rsidRPr="003D1446">
        <w:rPr>
          <w:sz w:val="16"/>
          <w:szCs w:val="16"/>
        </w:rPr>
        <w:t xml:space="preserve"> 180 EOSF.</w:t>
      </w:r>
    </w:p>
    <w:p w14:paraId="78496FF0" w14:textId="77777777" w:rsidR="005974F4" w:rsidRPr="005974F4" w:rsidRDefault="005974F4" w:rsidP="0025389A">
      <w:pPr>
        <w:pStyle w:val="Ttulo2"/>
        <w:spacing w:before="0" w:after="0"/>
        <w:rPr>
          <w:b w:val="0"/>
          <w:szCs w:val="16"/>
        </w:rPr>
      </w:pPr>
    </w:p>
    <w:sectPr w:rsidR="005974F4" w:rsidRPr="005974F4" w:rsidSect="00EF3587">
      <w:headerReference w:type="even" r:id="rId13"/>
      <w:headerReference w:type="default" r:id="rId14"/>
      <w:footerReference w:type="even" r:id="rId15"/>
      <w:footerReference w:type="default" r:id="rId16"/>
      <w:pgSz w:w="12240" w:h="18720" w:code="14"/>
      <w:pgMar w:top="1418" w:right="1701" w:bottom="1418" w:left="1701" w:header="1134" w:footer="1134" w:gutter="0"/>
      <w:pgNumType w:start="3"/>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86F0DF" w14:textId="77777777" w:rsidR="00F24D2F" w:rsidRDefault="00F24D2F" w:rsidP="00F30E2A">
      <w:r>
        <w:separator/>
      </w:r>
    </w:p>
  </w:endnote>
  <w:endnote w:type="continuationSeparator" w:id="0">
    <w:p w14:paraId="31FCCC6F" w14:textId="77777777" w:rsidR="00F24D2F" w:rsidRDefault="00F24D2F" w:rsidP="00F30E2A">
      <w:r>
        <w:continuationSeparator/>
      </w:r>
    </w:p>
  </w:endnote>
  <w:endnote w:type="continuationNotice" w:id="1">
    <w:p w14:paraId="6B6053E5" w14:textId="77777777" w:rsidR="00F24D2F" w:rsidRDefault="00F24D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auto"/>
    <w:pitch w:val="variable"/>
    <w:sig w:usb0="E3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68B47" w14:textId="77777777" w:rsidR="00F24D2F" w:rsidRPr="00F4699A" w:rsidRDefault="00F24D2F">
    <w:pPr>
      <w:pStyle w:val="Piedepgina"/>
      <w:rPr>
        <w:sz w:val="18"/>
      </w:rPr>
    </w:pPr>
  </w:p>
  <w:p w14:paraId="0139E363" w14:textId="77777777" w:rsidR="00F24D2F" w:rsidRDefault="00F24D2F">
    <w:pPr>
      <w:pStyle w:val="Piedepgina"/>
      <w:rPr>
        <w:b/>
        <w:sz w:val="18"/>
        <w:szCs w:val="18"/>
      </w:rPr>
    </w:pPr>
    <w:r w:rsidRPr="00F30E2A">
      <w:rPr>
        <w:b/>
        <w:sz w:val="18"/>
        <w:szCs w:val="18"/>
      </w:rPr>
      <w:t>PARTE II – TÍTULO IV – CAPÍTULO I</w:t>
    </w:r>
    <w:r w:rsidRPr="00F30E2A">
      <w:rPr>
        <w:b/>
        <w:sz w:val="18"/>
        <w:szCs w:val="18"/>
      </w:rPr>
      <w:tab/>
    </w:r>
    <w:r>
      <w:rPr>
        <w:b/>
        <w:sz w:val="18"/>
        <w:szCs w:val="18"/>
      </w:rPr>
      <w:t xml:space="preserve">                                                                                              </w:t>
    </w:r>
  </w:p>
  <w:p w14:paraId="5E2D766C" w14:textId="412F8AAE" w:rsidR="00F24D2F" w:rsidRPr="00F30E2A" w:rsidRDefault="00F24D2F" w:rsidP="00EF3587">
    <w:pPr>
      <w:pStyle w:val="Piedepgina"/>
      <w:tabs>
        <w:tab w:val="clear" w:pos="4419"/>
        <w:tab w:val="center" w:pos="8647"/>
      </w:tabs>
      <w:jc w:val="both"/>
      <w:rPr>
        <w:b/>
        <w:sz w:val="18"/>
        <w:szCs w:val="18"/>
      </w:rPr>
    </w:pPr>
    <w:r w:rsidRPr="000B3A0F">
      <w:rPr>
        <w:b/>
        <w:sz w:val="18"/>
        <w:szCs w:val="18"/>
      </w:rPr>
      <w:t xml:space="preserve">Circular </w:t>
    </w:r>
    <w:proofErr w:type="gramStart"/>
    <w:r w:rsidRPr="000B3A0F">
      <w:rPr>
        <w:b/>
        <w:sz w:val="18"/>
        <w:szCs w:val="18"/>
      </w:rPr>
      <w:t xml:space="preserve">Externa  </w:t>
    </w:r>
    <w:r>
      <w:rPr>
        <w:b/>
        <w:sz w:val="18"/>
        <w:szCs w:val="18"/>
      </w:rPr>
      <w:t>XXX</w:t>
    </w:r>
    <w:proofErr w:type="gramEnd"/>
    <w:r w:rsidRPr="000B3A0F">
      <w:rPr>
        <w:b/>
        <w:sz w:val="18"/>
        <w:szCs w:val="18"/>
      </w:rPr>
      <w:t xml:space="preserve"> de 20</w:t>
    </w:r>
    <w:r>
      <w:rPr>
        <w:b/>
        <w:sz w:val="18"/>
        <w:szCs w:val="18"/>
      </w:rPr>
      <w:t>21</w:t>
    </w:r>
    <w:r w:rsidRPr="000B3A0F">
      <w:rPr>
        <w:b/>
        <w:sz w:val="18"/>
        <w:szCs w:val="18"/>
      </w:rPr>
      <w:t xml:space="preserve">                                                                   </w:t>
    </w:r>
    <w:r>
      <w:rPr>
        <w:b/>
        <w:sz w:val="18"/>
        <w:szCs w:val="18"/>
      </w:rPr>
      <w:t xml:space="preserve">                                     XXX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2A9D0" w14:textId="77777777" w:rsidR="00F24D2F" w:rsidRPr="000D62A2" w:rsidRDefault="00F24D2F" w:rsidP="008C3E56">
    <w:pPr>
      <w:pStyle w:val="Piedepgina"/>
      <w:rPr>
        <w:rFonts w:cs="Arial"/>
        <w:b/>
        <w:sz w:val="18"/>
        <w:szCs w:val="18"/>
      </w:rPr>
    </w:pPr>
    <w:r w:rsidRPr="000D62A2">
      <w:rPr>
        <w:rFonts w:cs="Arial"/>
        <w:b/>
        <w:sz w:val="18"/>
        <w:szCs w:val="18"/>
        <w:lang w:val="pt-BR"/>
      </w:rPr>
      <w:t>PARTE II –</w:t>
    </w:r>
    <w:r>
      <w:rPr>
        <w:rFonts w:cs="Arial"/>
        <w:b/>
        <w:sz w:val="18"/>
        <w:szCs w:val="18"/>
        <w:lang w:val="pt-BR"/>
      </w:rPr>
      <w:t xml:space="preserve"> TÍTULO </w:t>
    </w:r>
    <w:r w:rsidRPr="000D62A2">
      <w:rPr>
        <w:rFonts w:cs="Arial"/>
        <w:b/>
        <w:sz w:val="18"/>
        <w:szCs w:val="18"/>
        <w:lang w:val="pt-BR"/>
      </w:rPr>
      <w:t>I</w:t>
    </w:r>
    <w:r>
      <w:rPr>
        <w:rFonts w:cs="Arial"/>
        <w:b/>
        <w:sz w:val="18"/>
        <w:szCs w:val="18"/>
        <w:lang w:val="pt-BR"/>
      </w:rPr>
      <w:t>V</w:t>
    </w:r>
    <w:r w:rsidRPr="000D62A2">
      <w:rPr>
        <w:rFonts w:cs="Arial"/>
        <w:b/>
        <w:sz w:val="18"/>
        <w:szCs w:val="18"/>
        <w:lang w:val="pt-BR"/>
      </w:rPr>
      <w:t xml:space="preserve"> – CAPÍTULO I</w:t>
    </w:r>
    <w:r w:rsidRPr="000D62A2">
      <w:rPr>
        <w:rFonts w:cs="Arial"/>
        <w:b/>
        <w:sz w:val="18"/>
        <w:szCs w:val="18"/>
        <w:lang w:val="pt-BR"/>
      </w:rPr>
      <w:tab/>
      <w:t xml:space="preserve">                                                                                 </w:t>
    </w:r>
    <w:r>
      <w:rPr>
        <w:rFonts w:cs="Arial"/>
        <w:b/>
        <w:sz w:val="18"/>
        <w:szCs w:val="18"/>
        <w:lang w:val="pt-BR"/>
      </w:rPr>
      <w:t xml:space="preserve">            </w:t>
    </w:r>
    <w:r w:rsidRPr="000D62A2">
      <w:rPr>
        <w:rFonts w:cs="Arial"/>
        <w:b/>
        <w:sz w:val="18"/>
        <w:szCs w:val="18"/>
        <w:lang w:val="pt-BR"/>
      </w:rPr>
      <w:t xml:space="preserve">     </w:t>
    </w:r>
    <w:r w:rsidRPr="000D62A2">
      <w:rPr>
        <w:rFonts w:cs="Arial"/>
        <w:b/>
        <w:sz w:val="18"/>
        <w:szCs w:val="18"/>
      </w:rPr>
      <w:t xml:space="preserve">PÁGINA </w:t>
    </w:r>
    <w:r>
      <w:rPr>
        <w:rFonts w:cs="Arial"/>
        <w:b/>
        <w:sz w:val="18"/>
        <w:szCs w:val="18"/>
      </w:rPr>
      <w:t>3</w:t>
    </w:r>
  </w:p>
  <w:p w14:paraId="1C5957D2" w14:textId="77777777" w:rsidR="00F24D2F" w:rsidRPr="00EA4A2A" w:rsidRDefault="00F24D2F">
    <w:pPr>
      <w:pStyle w:val="Piedepgina"/>
      <w:rPr>
        <w:b/>
        <w:sz w:val="18"/>
        <w:szCs w:val="18"/>
      </w:rPr>
    </w:pPr>
    <w:r w:rsidRPr="00EA4A2A">
      <w:rPr>
        <w:b/>
        <w:sz w:val="18"/>
        <w:szCs w:val="18"/>
      </w:rPr>
      <w:t xml:space="preserve">Circular Externa </w:t>
    </w:r>
    <w:r>
      <w:rPr>
        <w:b/>
        <w:sz w:val="18"/>
        <w:szCs w:val="18"/>
      </w:rPr>
      <w:t>014</w:t>
    </w:r>
    <w:r w:rsidRPr="00EA4A2A">
      <w:rPr>
        <w:b/>
        <w:sz w:val="18"/>
        <w:szCs w:val="18"/>
      </w:rPr>
      <w:t xml:space="preserve"> de 2015                                                                                      </w:t>
    </w:r>
    <w:r>
      <w:rPr>
        <w:b/>
        <w:sz w:val="18"/>
        <w:szCs w:val="18"/>
      </w:rPr>
      <w:t xml:space="preserve">                </w:t>
    </w:r>
    <w:proofErr w:type="gramStart"/>
    <w:r>
      <w:rPr>
        <w:b/>
        <w:sz w:val="18"/>
        <w:szCs w:val="18"/>
      </w:rPr>
      <w:t>Junio</w:t>
    </w:r>
    <w:proofErr w:type="gramEnd"/>
    <w:r w:rsidRPr="00EA4A2A">
      <w:rPr>
        <w:b/>
        <w:sz w:val="18"/>
        <w:szCs w:val="18"/>
      </w:rPr>
      <w:t xml:space="preserve"> de 2015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98DDD" w14:textId="77777777" w:rsidR="00F24D2F" w:rsidRDefault="00F24D2F" w:rsidP="008C3E56">
    <w:pPr>
      <w:pStyle w:val="Piedepgina"/>
      <w:rPr>
        <w:rFonts w:cs="Arial"/>
        <w:b/>
        <w:sz w:val="18"/>
        <w:szCs w:val="18"/>
        <w:lang w:val="pt-BR"/>
      </w:rPr>
    </w:pPr>
  </w:p>
  <w:p w14:paraId="14041554" w14:textId="77777777" w:rsidR="00F24D2F" w:rsidRDefault="00F24D2F" w:rsidP="008C3E56">
    <w:pPr>
      <w:pStyle w:val="Piedepgina"/>
      <w:rPr>
        <w:rFonts w:cs="Arial"/>
        <w:b/>
        <w:sz w:val="18"/>
        <w:szCs w:val="18"/>
      </w:rPr>
    </w:pPr>
    <w:r w:rsidRPr="000D62A2">
      <w:rPr>
        <w:rFonts w:cs="Arial"/>
        <w:b/>
        <w:sz w:val="18"/>
        <w:szCs w:val="18"/>
        <w:lang w:val="pt-BR"/>
      </w:rPr>
      <w:t>PARTE II –</w:t>
    </w:r>
    <w:r>
      <w:rPr>
        <w:rFonts w:cs="Arial"/>
        <w:b/>
        <w:sz w:val="18"/>
        <w:szCs w:val="18"/>
        <w:lang w:val="pt-BR"/>
      </w:rPr>
      <w:t xml:space="preserve"> TÍTULO </w:t>
    </w:r>
    <w:r w:rsidRPr="000D62A2">
      <w:rPr>
        <w:rFonts w:cs="Arial"/>
        <w:b/>
        <w:sz w:val="18"/>
        <w:szCs w:val="18"/>
        <w:lang w:val="pt-BR"/>
      </w:rPr>
      <w:t>I</w:t>
    </w:r>
    <w:r>
      <w:rPr>
        <w:rFonts w:cs="Arial"/>
        <w:b/>
        <w:sz w:val="18"/>
        <w:szCs w:val="18"/>
        <w:lang w:val="pt-BR"/>
      </w:rPr>
      <w:t>V</w:t>
    </w:r>
    <w:r w:rsidRPr="000D62A2">
      <w:rPr>
        <w:rFonts w:cs="Arial"/>
        <w:b/>
        <w:sz w:val="18"/>
        <w:szCs w:val="18"/>
        <w:lang w:val="pt-BR"/>
      </w:rPr>
      <w:t xml:space="preserve"> – CAPÍTULO I</w:t>
    </w:r>
    <w:r w:rsidRPr="000D62A2">
      <w:rPr>
        <w:rFonts w:cs="Arial"/>
        <w:b/>
        <w:sz w:val="18"/>
        <w:szCs w:val="18"/>
        <w:lang w:val="pt-BR"/>
      </w:rPr>
      <w:tab/>
      <w:t xml:space="preserve">                                                                                 </w:t>
    </w:r>
    <w:r>
      <w:rPr>
        <w:rFonts w:cs="Arial"/>
        <w:b/>
        <w:sz w:val="18"/>
        <w:szCs w:val="18"/>
        <w:lang w:val="pt-BR"/>
      </w:rPr>
      <w:t xml:space="preserve">            </w:t>
    </w:r>
    <w:r w:rsidRPr="000D62A2">
      <w:rPr>
        <w:rFonts w:cs="Arial"/>
        <w:b/>
        <w:sz w:val="18"/>
        <w:szCs w:val="18"/>
        <w:lang w:val="pt-BR"/>
      </w:rPr>
      <w:t xml:space="preserve">     </w:t>
    </w:r>
    <w:r w:rsidRPr="000D62A2">
      <w:rPr>
        <w:rFonts w:cs="Arial"/>
        <w:b/>
        <w:sz w:val="18"/>
        <w:szCs w:val="18"/>
      </w:rPr>
      <w:t xml:space="preserve">PÁGINA </w:t>
    </w:r>
    <w:r w:rsidRPr="0025389A">
      <w:rPr>
        <w:rFonts w:cs="Arial"/>
        <w:b/>
        <w:sz w:val="18"/>
        <w:szCs w:val="18"/>
      </w:rPr>
      <w:fldChar w:fldCharType="begin"/>
    </w:r>
    <w:r w:rsidRPr="0025389A">
      <w:rPr>
        <w:rFonts w:cs="Arial"/>
        <w:b/>
        <w:sz w:val="18"/>
        <w:szCs w:val="18"/>
      </w:rPr>
      <w:instrText>PAGE   \* MERGEFORMAT</w:instrText>
    </w:r>
    <w:r w:rsidRPr="0025389A">
      <w:rPr>
        <w:rFonts w:cs="Arial"/>
        <w:b/>
        <w:sz w:val="18"/>
        <w:szCs w:val="18"/>
      </w:rPr>
      <w:fldChar w:fldCharType="separate"/>
    </w:r>
    <w:r>
      <w:rPr>
        <w:rFonts w:cs="Arial"/>
        <w:b/>
        <w:noProof/>
        <w:sz w:val="18"/>
        <w:szCs w:val="18"/>
      </w:rPr>
      <w:t>3</w:t>
    </w:r>
    <w:r w:rsidRPr="0025389A">
      <w:rPr>
        <w:rFonts w:cs="Arial"/>
        <w:b/>
        <w:sz w:val="18"/>
        <w:szCs w:val="18"/>
      </w:rPr>
      <w:fldChar w:fldCharType="end"/>
    </w:r>
  </w:p>
  <w:p w14:paraId="7BB2FA46" w14:textId="0348303F" w:rsidR="00F24D2F" w:rsidRPr="00582FCC" w:rsidRDefault="00F24D2F" w:rsidP="008C3E56">
    <w:pPr>
      <w:pStyle w:val="Piedepgina"/>
      <w:tabs>
        <w:tab w:val="clear" w:pos="4419"/>
        <w:tab w:val="center" w:pos="8647"/>
      </w:tabs>
      <w:jc w:val="both"/>
      <w:rPr>
        <w:b/>
        <w:sz w:val="18"/>
        <w:szCs w:val="18"/>
      </w:rPr>
    </w:pPr>
    <w:r w:rsidRPr="000B3A0F">
      <w:rPr>
        <w:b/>
        <w:sz w:val="18"/>
        <w:szCs w:val="18"/>
      </w:rPr>
      <w:t xml:space="preserve">Circular </w:t>
    </w:r>
    <w:proofErr w:type="gramStart"/>
    <w:r w:rsidRPr="000B3A0F">
      <w:rPr>
        <w:b/>
        <w:sz w:val="18"/>
        <w:szCs w:val="18"/>
      </w:rPr>
      <w:t xml:space="preserve">Externa  </w:t>
    </w:r>
    <w:r>
      <w:rPr>
        <w:b/>
        <w:sz w:val="18"/>
        <w:szCs w:val="18"/>
      </w:rPr>
      <w:t>XXX</w:t>
    </w:r>
    <w:proofErr w:type="gramEnd"/>
    <w:r w:rsidRPr="000B3A0F">
      <w:rPr>
        <w:b/>
        <w:sz w:val="18"/>
        <w:szCs w:val="18"/>
      </w:rPr>
      <w:t xml:space="preserve"> de 20</w:t>
    </w:r>
    <w:r>
      <w:rPr>
        <w:b/>
        <w:sz w:val="18"/>
        <w:szCs w:val="18"/>
      </w:rPr>
      <w:t>21</w:t>
    </w:r>
    <w:r w:rsidRPr="000B3A0F">
      <w:rPr>
        <w:b/>
        <w:sz w:val="18"/>
        <w:szCs w:val="18"/>
      </w:rPr>
      <w:t xml:space="preserve">                                                                   </w:t>
    </w:r>
    <w:r>
      <w:rPr>
        <w:b/>
        <w:sz w:val="18"/>
        <w:szCs w:val="18"/>
      </w:rPr>
      <w:t xml:space="preserve">                                     XXX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71B8A7" w14:textId="77777777" w:rsidR="00F24D2F" w:rsidRDefault="00F24D2F" w:rsidP="00F30E2A">
      <w:r>
        <w:separator/>
      </w:r>
    </w:p>
  </w:footnote>
  <w:footnote w:type="continuationSeparator" w:id="0">
    <w:p w14:paraId="374F21DA" w14:textId="77777777" w:rsidR="00F24D2F" w:rsidRDefault="00F24D2F" w:rsidP="00F30E2A">
      <w:r>
        <w:continuationSeparator/>
      </w:r>
    </w:p>
  </w:footnote>
  <w:footnote w:type="continuationNotice" w:id="1">
    <w:p w14:paraId="331E4D17" w14:textId="77777777" w:rsidR="00F24D2F" w:rsidRDefault="00F24D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91DC4" w14:textId="77777777" w:rsidR="00F24D2F" w:rsidRDefault="00F24D2F" w:rsidP="00F30E2A">
    <w:pPr>
      <w:pStyle w:val="Encabezado"/>
      <w:jc w:val="center"/>
      <w:rPr>
        <w:b/>
      </w:rPr>
    </w:pPr>
    <w:r w:rsidRPr="00F30E2A">
      <w:rPr>
        <w:b/>
      </w:rPr>
      <w:t>SUPERINTENDENCIA FINANCIERA DE COLOMBIA</w:t>
    </w:r>
  </w:p>
  <w:p w14:paraId="6177A09F" w14:textId="77777777" w:rsidR="00F24D2F" w:rsidRPr="00F30E2A" w:rsidRDefault="00F24D2F" w:rsidP="00F30E2A">
    <w:pPr>
      <w:pStyle w:val="Encabezado"/>
      <w:jc w:val="center"/>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B772C" w14:textId="77777777" w:rsidR="00F24D2F" w:rsidRDefault="00F24D2F" w:rsidP="008C3E56">
    <w:pPr>
      <w:pStyle w:val="Encabezado"/>
      <w:jc w:val="center"/>
      <w:rPr>
        <w:b/>
      </w:rPr>
    </w:pPr>
    <w:r w:rsidRPr="00F30E2A">
      <w:rPr>
        <w:b/>
      </w:rPr>
      <w:t>SUPERINTENDENCIA FINANCIERA DE COLOMBIA</w:t>
    </w:r>
  </w:p>
  <w:p w14:paraId="4577D4AF" w14:textId="77777777" w:rsidR="00F24D2F" w:rsidRDefault="00F24D2F">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6F33E" w14:textId="77777777" w:rsidR="00F24D2F" w:rsidRDefault="00F24D2F" w:rsidP="008C3E56">
    <w:pPr>
      <w:pStyle w:val="Encabezado"/>
      <w:jc w:val="center"/>
      <w:rPr>
        <w:b/>
      </w:rPr>
    </w:pPr>
    <w:r w:rsidRPr="00F30E2A">
      <w:rPr>
        <w:b/>
      </w:rPr>
      <w:t>SUPERINTENDENCIA FINANCIERA DE COLOMBIA</w:t>
    </w:r>
  </w:p>
  <w:p w14:paraId="4F4E897C" w14:textId="77777777" w:rsidR="00F24D2F" w:rsidRPr="00CB513A" w:rsidRDefault="00F24D2F">
    <w:pPr>
      <w:pStyle w:val="Encabezado"/>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8D4C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E"/>
    <w:multiLevelType w:val="multilevel"/>
    <w:tmpl w:val="1884D0C6"/>
    <w:lvl w:ilvl="0">
      <w:start w:val="1"/>
      <w:numFmt w:val="decimal"/>
      <w:lvlText w:val="%1."/>
      <w:lvlJc w:val="left"/>
      <w:pPr>
        <w:tabs>
          <w:tab w:val="num"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87033F6"/>
    <w:multiLevelType w:val="multilevel"/>
    <w:tmpl w:val="A3F8DBB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tulo3"/>
      <w:lvlText w:val="%1.%2.%3"/>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4F4"/>
    <w:rsid w:val="00001C2B"/>
    <w:rsid w:val="000046EF"/>
    <w:rsid w:val="00015A0C"/>
    <w:rsid w:val="00026B99"/>
    <w:rsid w:val="00046FD1"/>
    <w:rsid w:val="000517DD"/>
    <w:rsid w:val="000524FA"/>
    <w:rsid w:val="00053EDE"/>
    <w:rsid w:val="0007412D"/>
    <w:rsid w:val="0007551A"/>
    <w:rsid w:val="000762BA"/>
    <w:rsid w:val="00083FE0"/>
    <w:rsid w:val="000848ED"/>
    <w:rsid w:val="000A530F"/>
    <w:rsid w:val="000B4B26"/>
    <w:rsid w:val="000B5709"/>
    <w:rsid w:val="000C36AE"/>
    <w:rsid w:val="000E0892"/>
    <w:rsid w:val="000E0A46"/>
    <w:rsid w:val="000E6555"/>
    <w:rsid w:val="000E7694"/>
    <w:rsid w:val="001016DB"/>
    <w:rsid w:val="0010174B"/>
    <w:rsid w:val="00113A19"/>
    <w:rsid w:val="001141E4"/>
    <w:rsid w:val="00117B39"/>
    <w:rsid w:val="00122189"/>
    <w:rsid w:val="00134B8F"/>
    <w:rsid w:val="00145C84"/>
    <w:rsid w:val="001463B8"/>
    <w:rsid w:val="00153A5F"/>
    <w:rsid w:val="001548F1"/>
    <w:rsid w:val="00155752"/>
    <w:rsid w:val="00157842"/>
    <w:rsid w:val="0016076E"/>
    <w:rsid w:val="00165DC7"/>
    <w:rsid w:val="00170A5C"/>
    <w:rsid w:val="001877D5"/>
    <w:rsid w:val="00191CE7"/>
    <w:rsid w:val="001A10B3"/>
    <w:rsid w:val="001C3972"/>
    <w:rsid w:val="001D5367"/>
    <w:rsid w:val="001E2711"/>
    <w:rsid w:val="001F5E08"/>
    <w:rsid w:val="001F7752"/>
    <w:rsid w:val="00207645"/>
    <w:rsid w:val="00207BFD"/>
    <w:rsid w:val="0021003A"/>
    <w:rsid w:val="002108E9"/>
    <w:rsid w:val="002109BE"/>
    <w:rsid w:val="00226E5E"/>
    <w:rsid w:val="002279E1"/>
    <w:rsid w:val="00227EC5"/>
    <w:rsid w:val="002361DF"/>
    <w:rsid w:val="00242C1D"/>
    <w:rsid w:val="00243C7C"/>
    <w:rsid w:val="0024746F"/>
    <w:rsid w:val="0025389A"/>
    <w:rsid w:val="002562F2"/>
    <w:rsid w:val="00263FFF"/>
    <w:rsid w:val="00264A47"/>
    <w:rsid w:val="00292480"/>
    <w:rsid w:val="002947BB"/>
    <w:rsid w:val="00294A91"/>
    <w:rsid w:val="002A50CA"/>
    <w:rsid w:val="002B40F6"/>
    <w:rsid w:val="002B5908"/>
    <w:rsid w:val="002E4952"/>
    <w:rsid w:val="002F6C3C"/>
    <w:rsid w:val="003174D4"/>
    <w:rsid w:val="0032035D"/>
    <w:rsid w:val="00326981"/>
    <w:rsid w:val="00333E3E"/>
    <w:rsid w:val="003340CA"/>
    <w:rsid w:val="00341640"/>
    <w:rsid w:val="00344C03"/>
    <w:rsid w:val="0034646A"/>
    <w:rsid w:val="00376213"/>
    <w:rsid w:val="003810B3"/>
    <w:rsid w:val="00390E53"/>
    <w:rsid w:val="00394FC3"/>
    <w:rsid w:val="003A0502"/>
    <w:rsid w:val="003A5192"/>
    <w:rsid w:val="003A70B1"/>
    <w:rsid w:val="003B4F11"/>
    <w:rsid w:val="003B5C71"/>
    <w:rsid w:val="003C00F2"/>
    <w:rsid w:val="003C3055"/>
    <w:rsid w:val="003C3FAD"/>
    <w:rsid w:val="003D0D6E"/>
    <w:rsid w:val="003D29A0"/>
    <w:rsid w:val="003E7DAA"/>
    <w:rsid w:val="003F57B0"/>
    <w:rsid w:val="003F7AE9"/>
    <w:rsid w:val="0040256F"/>
    <w:rsid w:val="00402DE6"/>
    <w:rsid w:val="00410FE8"/>
    <w:rsid w:val="0041245D"/>
    <w:rsid w:val="004124D6"/>
    <w:rsid w:val="00415C62"/>
    <w:rsid w:val="0042044C"/>
    <w:rsid w:val="00457D1F"/>
    <w:rsid w:val="00475EAF"/>
    <w:rsid w:val="00480641"/>
    <w:rsid w:val="00481FCD"/>
    <w:rsid w:val="00484767"/>
    <w:rsid w:val="004948FA"/>
    <w:rsid w:val="004B10C0"/>
    <w:rsid w:val="004C59E2"/>
    <w:rsid w:val="004C61D6"/>
    <w:rsid w:val="004C797F"/>
    <w:rsid w:val="004F13A2"/>
    <w:rsid w:val="005043ED"/>
    <w:rsid w:val="00510BF6"/>
    <w:rsid w:val="005116C7"/>
    <w:rsid w:val="00512B83"/>
    <w:rsid w:val="00514CF2"/>
    <w:rsid w:val="00527186"/>
    <w:rsid w:val="00527D5F"/>
    <w:rsid w:val="00527DE1"/>
    <w:rsid w:val="0053240D"/>
    <w:rsid w:val="00534B0C"/>
    <w:rsid w:val="005364C2"/>
    <w:rsid w:val="00540F46"/>
    <w:rsid w:val="00543579"/>
    <w:rsid w:val="00546AED"/>
    <w:rsid w:val="00551423"/>
    <w:rsid w:val="00555512"/>
    <w:rsid w:val="005669E4"/>
    <w:rsid w:val="005720C2"/>
    <w:rsid w:val="005742ED"/>
    <w:rsid w:val="00576630"/>
    <w:rsid w:val="00592FF4"/>
    <w:rsid w:val="005974F4"/>
    <w:rsid w:val="005A445E"/>
    <w:rsid w:val="005C2A96"/>
    <w:rsid w:val="005C69D4"/>
    <w:rsid w:val="005E0E89"/>
    <w:rsid w:val="005E2B9D"/>
    <w:rsid w:val="005E3006"/>
    <w:rsid w:val="005F1E76"/>
    <w:rsid w:val="005F39E9"/>
    <w:rsid w:val="00604AD8"/>
    <w:rsid w:val="00605603"/>
    <w:rsid w:val="00617313"/>
    <w:rsid w:val="00634BDF"/>
    <w:rsid w:val="00660428"/>
    <w:rsid w:val="006774FF"/>
    <w:rsid w:val="00677ED7"/>
    <w:rsid w:val="006835B4"/>
    <w:rsid w:val="00692E16"/>
    <w:rsid w:val="006A1FE1"/>
    <w:rsid w:val="006B0EF7"/>
    <w:rsid w:val="006B7033"/>
    <w:rsid w:val="006C05F2"/>
    <w:rsid w:val="006C245B"/>
    <w:rsid w:val="006C2CA8"/>
    <w:rsid w:val="006C36D3"/>
    <w:rsid w:val="006D0CED"/>
    <w:rsid w:val="006D604C"/>
    <w:rsid w:val="006E76C8"/>
    <w:rsid w:val="006F6631"/>
    <w:rsid w:val="006F703C"/>
    <w:rsid w:val="00705AD8"/>
    <w:rsid w:val="007067C2"/>
    <w:rsid w:val="0071417A"/>
    <w:rsid w:val="007253DC"/>
    <w:rsid w:val="007340B5"/>
    <w:rsid w:val="0074124D"/>
    <w:rsid w:val="007462F2"/>
    <w:rsid w:val="00756B74"/>
    <w:rsid w:val="0076478E"/>
    <w:rsid w:val="00770D0E"/>
    <w:rsid w:val="00771260"/>
    <w:rsid w:val="00777508"/>
    <w:rsid w:val="007A21BE"/>
    <w:rsid w:val="007A52BF"/>
    <w:rsid w:val="007B0E98"/>
    <w:rsid w:val="007C0F02"/>
    <w:rsid w:val="007C4972"/>
    <w:rsid w:val="007F6838"/>
    <w:rsid w:val="007F7B15"/>
    <w:rsid w:val="008007C0"/>
    <w:rsid w:val="008119AD"/>
    <w:rsid w:val="00834531"/>
    <w:rsid w:val="00850153"/>
    <w:rsid w:val="008511E6"/>
    <w:rsid w:val="008550DD"/>
    <w:rsid w:val="00857804"/>
    <w:rsid w:val="00857B1D"/>
    <w:rsid w:val="008658B5"/>
    <w:rsid w:val="008713D7"/>
    <w:rsid w:val="008802EB"/>
    <w:rsid w:val="00887A39"/>
    <w:rsid w:val="0089670E"/>
    <w:rsid w:val="00897396"/>
    <w:rsid w:val="008A195A"/>
    <w:rsid w:val="008B4237"/>
    <w:rsid w:val="008C3E56"/>
    <w:rsid w:val="008C4603"/>
    <w:rsid w:val="008D5FCB"/>
    <w:rsid w:val="008F03D6"/>
    <w:rsid w:val="008F1973"/>
    <w:rsid w:val="008F1CFF"/>
    <w:rsid w:val="008F2640"/>
    <w:rsid w:val="009071CD"/>
    <w:rsid w:val="00912B51"/>
    <w:rsid w:val="00914618"/>
    <w:rsid w:val="00914D31"/>
    <w:rsid w:val="00917C7B"/>
    <w:rsid w:val="00923ADF"/>
    <w:rsid w:val="009273C0"/>
    <w:rsid w:val="00935EB0"/>
    <w:rsid w:val="00936FEA"/>
    <w:rsid w:val="00961CD7"/>
    <w:rsid w:val="009820BF"/>
    <w:rsid w:val="00982340"/>
    <w:rsid w:val="00983752"/>
    <w:rsid w:val="00986514"/>
    <w:rsid w:val="00990335"/>
    <w:rsid w:val="009A6FA3"/>
    <w:rsid w:val="009B7BBB"/>
    <w:rsid w:val="009C1672"/>
    <w:rsid w:val="009C4F9E"/>
    <w:rsid w:val="009D45BF"/>
    <w:rsid w:val="009E26C3"/>
    <w:rsid w:val="009E6CC6"/>
    <w:rsid w:val="00A00A6A"/>
    <w:rsid w:val="00A20558"/>
    <w:rsid w:val="00A250AD"/>
    <w:rsid w:val="00A32428"/>
    <w:rsid w:val="00A35917"/>
    <w:rsid w:val="00A36CB5"/>
    <w:rsid w:val="00A40004"/>
    <w:rsid w:val="00A434D0"/>
    <w:rsid w:val="00A5575A"/>
    <w:rsid w:val="00A605A3"/>
    <w:rsid w:val="00A60BB1"/>
    <w:rsid w:val="00A70653"/>
    <w:rsid w:val="00A7204F"/>
    <w:rsid w:val="00A75920"/>
    <w:rsid w:val="00A946FB"/>
    <w:rsid w:val="00AA33B2"/>
    <w:rsid w:val="00AA3B58"/>
    <w:rsid w:val="00AB025B"/>
    <w:rsid w:val="00AB0460"/>
    <w:rsid w:val="00AB29E4"/>
    <w:rsid w:val="00AB475C"/>
    <w:rsid w:val="00AB61EB"/>
    <w:rsid w:val="00AC54DE"/>
    <w:rsid w:val="00AD3EFA"/>
    <w:rsid w:val="00AE3D6E"/>
    <w:rsid w:val="00AF143B"/>
    <w:rsid w:val="00AF1D0D"/>
    <w:rsid w:val="00B0178A"/>
    <w:rsid w:val="00B02F96"/>
    <w:rsid w:val="00B03620"/>
    <w:rsid w:val="00B06FC0"/>
    <w:rsid w:val="00B1200C"/>
    <w:rsid w:val="00B16075"/>
    <w:rsid w:val="00B17488"/>
    <w:rsid w:val="00B30F1B"/>
    <w:rsid w:val="00B37AD7"/>
    <w:rsid w:val="00B54BC2"/>
    <w:rsid w:val="00B6010D"/>
    <w:rsid w:val="00B6406D"/>
    <w:rsid w:val="00B6554B"/>
    <w:rsid w:val="00B8517E"/>
    <w:rsid w:val="00BB1595"/>
    <w:rsid w:val="00BB395D"/>
    <w:rsid w:val="00BB6195"/>
    <w:rsid w:val="00BC14EF"/>
    <w:rsid w:val="00BD3E5F"/>
    <w:rsid w:val="00BE6B9F"/>
    <w:rsid w:val="00BE7AD2"/>
    <w:rsid w:val="00BF1890"/>
    <w:rsid w:val="00BF3848"/>
    <w:rsid w:val="00C013E7"/>
    <w:rsid w:val="00C06A58"/>
    <w:rsid w:val="00C23228"/>
    <w:rsid w:val="00C26D94"/>
    <w:rsid w:val="00C95035"/>
    <w:rsid w:val="00C9608C"/>
    <w:rsid w:val="00CC0144"/>
    <w:rsid w:val="00CC4B35"/>
    <w:rsid w:val="00CD49C1"/>
    <w:rsid w:val="00CD7DDD"/>
    <w:rsid w:val="00D07554"/>
    <w:rsid w:val="00D23DC1"/>
    <w:rsid w:val="00D35D32"/>
    <w:rsid w:val="00D403CD"/>
    <w:rsid w:val="00D417FA"/>
    <w:rsid w:val="00D4387C"/>
    <w:rsid w:val="00D440EE"/>
    <w:rsid w:val="00D47AED"/>
    <w:rsid w:val="00D53D03"/>
    <w:rsid w:val="00D729AA"/>
    <w:rsid w:val="00D731FD"/>
    <w:rsid w:val="00D735ED"/>
    <w:rsid w:val="00D73621"/>
    <w:rsid w:val="00D838D5"/>
    <w:rsid w:val="00D928BC"/>
    <w:rsid w:val="00D92AD7"/>
    <w:rsid w:val="00D9530B"/>
    <w:rsid w:val="00D971C8"/>
    <w:rsid w:val="00D97A76"/>
    <w:rsid w:val="00D97FFE"/>
    <w:rsid w:val="00DA1F45"/>
    <w:rsid w:val="00DA541D"/>
    <w:rsid w:val="00DA63E1"/>
    <w:rsid w:val="00DA7B31"/>
    <w:rsid w:val="00DB5BF9"/>
    <w:rsid w:val="00DB62DD"/>
    <w:rsid w:val="00DC0AAA"/>
    <w:rsid w:val="00DD23F2"/>
    <w:rsid w:val="00DE076E"/>
    <w:rsid w:val="00DE3500"/>
    <w:rsid w:val="00DE4F3D"/>
    <w:rsid w:val="00DF35D5"/>
    <w:rsid w:val="00E02400"/>
    <w:rsid w:val="00E2389D"/>
    <w:rsid w:val="00E23C8A"/>
    <w:rsid w:val="00E2707B"/>
    <w:rsid w:val="00E33FF6"/>
    <w:rsid w:val="00E62366"/>
    <w:rsid w:val="00E64FA0"/>
    <w:rsid w:val="00E676FE"/>
    <w:rsid w:val="00E67C31"/>
    <w:rsid w:val="00E753F6"/>
    <w:rsid w:val="00E814BC"/>
    <w:rsid w:val="00EA497B"/>
    <w:rsid w:val="00EC01BC"/>
    <w:rsid w:val="00EE02D2"/>
    <w:rsid w:val="00EE3A21"/>
    <w:rsid w:val="00EE59C5"/>
    <w:rsid w:val="00EF3587"/>
    <w:rsid w:val="00F05E2E"/>
    <w:rsid w:val="00F10AC3"/>
    <w:rsid w:val="00F14CC1"/>
    <w:rsid w:val="00F24D2F"/>
    <w:rsid w:val="00F27782"/>
    <w:rsid w:val="00F27B33"/>
    <w:rsid w:val="00F30E2A"/>
    <w:rsid w:val="00F4699A"/>
    <w:rsid w:val="00F53003"/>
    <w:rsid w:val="00F60361"/>
    <w:rsid w:val="00F62AF6"/>
    <w:rsid w:val="00F717B8"/>
    <w:rsid w:val="00F76767"/>
    <w:rsid w:val="00F8076D"/>
    <w:rsid w:val="00F82235"/>
    <w:rsid w:val="00F9235E"/>
    <w:rsid w:val="00FA2020"/>
    <w:rsid w:val="00FA3600"/>
    <w:rsid w:val="00FA3F1D"/>
    <w:rsid w:val="00FB069E"/>
    <w:rsid w:val="00FB0D82"/>
    <w:rsid w:val="00FB3B48"/>
    <w:rsid w:val="00FB4B73"/>
    <w:rsid w:val="00FC2115"/>
    <w:rsid w:val="00FD7041"/>
    <w:rsid w:val="00FE2EF6"/>
    <w:rsid w:val="00FF365E"/>
    <w:rsid w:val="01EFFD02"/>
    <w:rsid w:val="04548B32"/>
    <w:rsid w:val="04A2DAE5"/>
    <w:rsid w:val="058BB15D"/>
    <w:rsid w:val="0621B9AB"/>
    <w:rsid w:val="0838CCC9"/>
    <w:rsid w:val="095EC5BB"/>
    <w:rsid w:val="09738981"/>
    <w:rsid w:val="09F66E4B"/>
    <w:rsid w:val="0BF06427"/>
    <w:rsid w:val="0C81B896"/>
    <w:rsid w:val="0CBEB349"/>
    <w:rsid w:val="0E0B1AE0"/>
    <w:rsid w:val="0EAF318A"/>
    <w:rsid w:val="102E03D8"/>
    <w:rsid w:val="10B15BD5"/>
    <w:rsid w:val="11248302"/>
    <w:rsid w:val="12F3FA0A"/>
    <w:rsid w:val="13166FB8"/>
    <w:rsid w:val="142194A0"/>
    <w:rsid w:val="14FE2774"/>
    <w:rsid w:val="1509FEBC"/>
    <w:rsid w:val="161A555D"/>
    <w:rsid w:val="1656FA1F"/>
    <w:rsid w:val="166963E6"/>
    <w:rsid w:val="16DDDD17"/>
    <w:rsid w:val="170362E6"/>
    <w:rsid w:val="17D4454E"/>
    <w:rsid w:val="198071FF"/>
    <w:rsid w:val="198E9AE1"/>
    <w:rsid w:val="1CB67B3B"/>
    <w:rsid w:val="1D35E44A"/>
    <w:rsid w:val="1D3A2852"/>
    <w:rsid w:val="1ED8BF4E"/>
    <w:rsid w:val="20E202B0"/>
    <w:rsid w:val="21336261"/>
    <w:rsid w:val="2179D166"/>
    <w:rsid w:val="22CE4C5B"/>
    <w:rsid w:val="230151EE"/>
    <w:rsid w:val="23FBAB20"/>
    <w:rsid w:val="24092751"/>
    <w:rsid w:val="241F5E8B"/>
    <w:rsid w:val="24F763DD"/>
    <w:rsid w:val="2538C4BD"/>
    <w:rsid w:val="259A9257"/>
    <w:rsid w:val="25F2A575"/>
    <w:rsid w:val="26029329"/>
    <w:rsid w:val="268A742B"/>
    <w:rsid w:val="26B15622"/>
    <w:rsid w:val="26E82DD5"/>
    <w:rsid w:val="275F1A74"/>
    <w:rsid w:val="2799F8C5"/>
    <w:rsid w:val="27EDF05C"/>
    <w:rsid w:val="2825486D"/>
    <w:rsid w:val="28D0157B"/>
    <w:rsid w:val="29F6CD24"/>
    <w:rsid w:val="2A85B235"/>
    <w:rsid w:val="2AD357EA"/>
    <w:rsid w:val="2BC6A1FA"/>
    <w:rsid w:val="2C136933"/>
    <w:rsid w:val="2E22FA27"/>
    <w:rsid w:val="2F43BA9C"/>
    <w:rsid w:val="2F5DE9B0"/>
    <w:rsid w:val="2F8FA1F7"/>
    <w:rsid w:val="2FEC9253"/>
    <w:rsid w:val="305DBC7B"/>
    <w:rsid w:val="3085A006"/>
    <w:rsid w:val="30C009AC"/>
    <w:rsid w:val="30C0C02C"/>
    <w:rsid w:val="315ACDBA"/>
    <w:rsid w:val="31EBE96D"/>
    <w:rsid w:val="32F10E75"/>
    <w:rsid w:val="3358A058"/>
    <w:rsid w:val="3395900E"/>
    <w:rsid w:val="33D83EAF"/>
    <w:rsid w:val="345BB77B"/>
    <w:rsid w:val="34A8A181"/>
    <w:rsid w:val="35D0971A"/>
    <w:rsid w:val="368E92D5"/>
    <w:rsid w:val="36B00C64"/>
    <w:rsid w:val="3899BD59"/>
    <w:rsid w:val="38DA52D0"/>
    <w:rsid w:val="392E64E1"/>
    <w:rsid w:val="3AB6C4C4"/>
    <w:rsid w:val="3C1BCC93"/>
    <w:rsid w:val="3DC8F6B5"/>
    <w:rsid w:val="3DF821D3"/>
    <w:rsid w:val="3E085008"/>
    <w:rsid w:val="3E496741"/>
    <w:rsid w:val="3EE7C2B7"/>
    <w:rsid w:val="3EFDB853"/>
    <w:rsid w:val="3FDD5E15"/>
    <w:rsid w:val="4025FEAC"/>
    <w:rsid w:val="433296E7"/>
    <w:rsid w:val="433C924D"/>
    <w:rsid w:val="4364E219"/>
    <w:rsid w:val="43E1028C"/>
    <w:rsid w:val="4403E874"/>
    <w:rsid w:val="46684F46"/>
    <w:rsid w:val="46C20CE1"/>
    <w:rsid w:val="46E450B9"/>
    <w:rsid w:val="46F88B80"/>
    <w:rsid w:val="47A4A882"/>
    <w:rsid w:val="480892BD"/>
    <w:rsid w:val="480E3133"/>
    <w:rsid w:val="48487486"/>
    <w:rsid w:val="48C163FB"/>
    <w:rsid w:val="492340F2"/>
    <w:rsid w:val="494BE951"/>
    <w:rsid w:val="4A63E75F"/>
    <w:rsid w:val="4AECA64D"/>
    <w:rsid w:val="4B22980C"/>
    <w:rsid w:val="4B658C25"/>
    <w:rsid w:val="4BBAF3A2"/>
    <w:rsid w:val="4BF56E50"/>
    <w:rsid w:val="4D80BD5E"/>
    <w:rsid w:val="4D921797"/>
    <w:rsid w:val="4E75E649"/>
    <w:rsid w:val="4E7E174D"/>
    <w:rsid w:val="4F1CE53A"/>
    <w:rsid w:val="4F75709C"/>
    <w:rsid w:val="4FB4ED59"/>
    <w:rsid w:val="502C87CE"/>
    <w:rsid w:val="504443D2"/>
    <w:rsid w:val="505D068D"/>
    <w:rsid w:val="5078FC09"/>
    <w:rsid w:val="50FE2AAA"/>
    <w:rsid w:val="5225DF08"/>
    <w:rsid w:val="5231FC72"/>
    <w:rsid w:val="53940FD7"/>
    <w:rsid w:val="5431D47F"/>
    <w:rsid w:val="54C15AF6"/>
    <w:rsid w:val="55BAA17D"/>
    <w:rsid w:val="55D332E1"/>
    <w:rsid w:val="5802E668"/>
    <w:rsid w:val="58A258F4"/>
    <w:rsid w:val="5BBFF868"/>
    <w:rsid w:val="5CA687FE"/>
    <w:rsid w:val="5CAAF259"/>
    <w:rsid w:val="5F2E6B35"/>
    <w:rsid w:val="6052133A"/>
    <w:rsid w:val="6127521E"/>
    <w:rsid w:val="61AB60F4"/>
    <w:rsid w:val="61FBD23B"/>
    <w:rsid w:val="630F3DBD"/>
    <w:rsid w:val="6465E1BC"/>
    <w:rsid w:val="64AB4BFC"/>
    <w:rsid w:val="64F4D502"/>
    <w:rsid w:val="65DADE5B"/>
    <w:rsid w:val="66802942"/>
    <w:rsid w:val="6681A9C9"/>
    <w:rsid w:val="6692D58D"/>
    <w:rsid w:val="6745A119"/>
    <w:rsid w:val="68674A81"/>
    <w:rsid w:val="68A34D33"/>
    <w:rsid w:val="690EA6C4"/>
    <w:rsid w:val="69CD8A46"/>
    <w:rsid w:val="6A784119"/>
    <w:rsid w:val="6A9EB2D6"/>
    <w:rsid w:val="6B035A02"/>
    <w:rsid w:val="6B5560CD"/>
    <w:rsid w:val="6B6DC979"/>
    <w:rsid w:val="6C1BB26D"/>
    <w:rsid w:val="6C6F62AC"/>
    <w:rsid w:val="6D29B2A3"/>
    <w:rsid w:val="6E77D541"/>
    <w:rsid w:val="6EE99030"/>
    <w:rsid w:val="717B8815"/>
    <w:rsid w:val="71BC82F5"/>
    <w:rsid w:val="727B33A2"/>
    <w:rsid w:val="74F25D4F"/>
    <w:rsid w:val="753A215D"/>
    <w:rsid w:val="7548099F"/>
    <w:rsid w:val="755A3A26"/>
    <w:rsid w:val="75639408"/>
    <w:rsid w:val="75D28454"/>
    <w:rsid w:val="76E544FD"/>
    <w:rsid w:val="76EDA855"/>
    <w:rsid w:val="78AE181E"/>
    <w:rsid w:val="7901565F"/>
    <w:rsid w:val="79930172"/>
    <w:rsid w:val="79A1231D"/>
    <w:rsid w:val="79D2859F"/>
    <w:rsid w:val="7A9CCB3A"/>
    <w:rsid w:val="7AB746B4"/>
    <w:rsid w:val="7C6143ED"/>
    <w:rsid w:val="7CA19ACF"/>
    <w:rsid w:val="7CE1DF5A"/>
    <w:rsid w:val="7D596371"/>
    <w:rsid w:val="7D6E877C"/>
    <w:rsid w:val="7DA71134"/>
    <w:rsid w:val="7E5755DC"/>
    <w:rsid w:val="7E85FCEC"/>
    <w:rsid w:val="7F4E2CEC"/>
    <w:rsid w:val="7F9797AE"/>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D6ACD1E"/>
  <w15:docId w15:val="{B0B12A4C-FA5D-4812-8D76-274CC8083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CO"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974F4"/>
    <w:rPr>
      <w:rFonts w:ascii="Arial" w:hAnsi="Arial"/>
      <w:sz w:val="24"/>
      <w:lang w:val="es-ES" w:eastAsia="es-CO"/>
    </w:rPr>
  </w:style>
  <w:style w:type="paragraph" w:styleId="Ttulo1">
    <w:name w:val="heading 1"/>
    <w:basedOn w:val="Normal"/>
    <w:next w:val="Normal"/>
    <w:link w:val="Ttulo1Car"/>
    <w:uiPriority w:val="9"/>
    <w:qFormat/>
    <w:rsid w:val="005974F4"/>
    <w:pPr>
      <w:keepNext/>
      <w:spacing w:before="240" w:after="60"/>
      <w:outlineLvl w:val="0"/>
    </w:pPr>
    <w:rPr>
      <w:rFonts w:cs="Arial"/>
      <w:b/>
      <w:bCs/>
      <w:kern w:val="32"/>
      <w:sz w:val="16"/>
      <w:szCs w:val="32"/>
    </w:rPr>
  </w:style>
  <w:style w:type="paragraph" w:styleId="Ttulo2">
    <w:name w:val="heading 2"/>
    <w:basedOn w:val="Normal"/>
    <w:next w:val="Normal"/>
    <w:link w:val="Ttulo2Car"/>
    <w:qFormat/>
    <w:rsid w:val="005974F4"/>
    <w:pPr>
      <w:keepNext/>
      <w:spacing w:before="240" w:after="60"/>
      <w:outlineLvl w:val="1"/>
    </w:pPr>
    <w:rPr>
      <w:rFonts w:cs="Arial"/>
      <w:b/>
      <w:bCs/>
      <w:iCs/>
      <w:sz w:val="16"/>
      <w:szCs w:val="28"/>
    </w:rPr>
  </w:style>
  <w:style w:type="paragraph" w:styleId="Ttulo3">
    <w:name w:val="heading 3"/>
    <w:basedOn w:val="Normal"/>
    <w:next w:val="Normal"/>
    <w:link w:val="Ttulo3Car"/>
    <w:qFormat/>
    <w:rsid w:val="00AB0460"/>
    <w:pPr>
      <w:keepNext/>
      <w:numPr>
        <w:ilvl w:val="2"/>
        <w:numId w:val="9"/>
      </w:numPr>
      <w:spacing w:before="240" w:after="60"/>
      <w:outlineLvl w:val="2"/>
    </w:pPr>
    <w:rPr>
      <w:rFonts w:cs="Arial"/>
      <w:b/>
      <w:bCs/>
      <w:szCs w:val="26"/>
    </w:rPr>
  </w:style>
  <w:style w:type="paragraph" w:styleId="Ttulo4">
    <w:name w:val="heading 4"/>
    <w:basedOn w:val="Normal"/>
    <w:next w:val="Normal"/>
    <w:link w:val="Ttulo4Car"/>
    <w:qFormat/>
    <w:rsid w:val="00AB0460"/>
    <w:pPr>
      <w:keepNext/>
      <w:numPr>
        <w:ilvl w:val="3"/>
        <w:numId w:val="9"/>
      </w:numPr>
      <w:spacing w:before="240" w:after="60"/>
      <w:outlineLvl w:val="3"/>
    </w:pPr>
    <w:rPr>
      <w:bCs/>
      <w:szCs w:val="28"/>
    </w:rPr>
  </w:style>
  <w:style w:type="paragraph" w:styleId="Ttulo5">
    <w:name w:val="heading 5"/>
    <w:basedOn w:val="Normal"/>
    <w:next w:val="Normal"/>
    <w:link w:val="Ttulo5Car"/>
    <w:qFormat/>
    <w:rsid w:val="00AB0460"/>
    <w:pPr>
      <w:numPr>
        <w:ilvl w:val="4"/>
        <w:numId w:val="9"/>
      </w:numPr>
      <w:spacing w:before="240" w:after="60"/>
      <w:outlineLvl w:val="4"/>
    </w:pPr>
    <w:rPr>
      <w:b/>
      <w:bCs/>
      <w:iCs/>
      <w:szCs w:val="26"/>
      <w:u w:val="single"/>
    </w:rPr>
  </w:style>
  <w:style w:type="paragraph" w:styleId="Ttulo6">
    <w:name w:val="heading 6"/>
    <w:basedOn w:val="Normal"/>
    <w:link w:val="Ttulo6Car"/>
    <w:qFormat/>
    <w:rsid w:val="00AB0460"/>
    <w:pPr>
      <w:numPr>
        <w:ilvl w:val="5"/>
        <w:numId w:val="9"/>
      </w:numPr>
      <w:spacing w:before="100" w:beforeAutospacing="1" w:after="100" w:afterAutospacing="1"/>
      <w:outlineLvl w:val="5"/>
    </w:pPr>
    <w:rPr>
      <w:b/>
      <w:bCs/>
      <w:sz w:val="15"/>
      <w:szCs w:val="15"/>
    </w:rPr>
  </w:style>
  <w:style w:type="paragraph" w:styleId="Ttulo7">
    <w:name w:val="heading 7"/>
    <w:basedOn w:val="Normal"/>
    <w:next w:val="Normal"/>
    <w:link w:val="Ttulo7Car"/>
    <w:qFormat/>
    <w:rsid w:val="00AB0460"/>
    <w:pPr>
      <w:numPr>
        <w:ilvl w:val="6"/>
        <w:numId w:val="9"/>
      </w:numPr>
      <w:spacing w:before="240" w:after="60"/>
      <w:outlineLvl w:val="6"/>
    </w:pPr>
    <w:rPr>
      <w:szCs w:val="24"/>
    </w:rPr>
  </w:style>
  <w:style w:type="paragraph" w:styleId="Ttulo8">
    <w:name w:val="heading 8"/>
    <w:basedOn w:val="Normal"/>
    <w:next w:val="Normal"/>
    <w:link w:val="Ttulo8Car"/>
    <w:qFormat/>
    <w:rsid w:val="00AB0460"/>
    <w:pPr>
      <w:numPr>
        <w:ilvl w:val="7"/>
        <w:numId w:val="9"/>
      </w:numPr>
      <w:spacing w:before="240" w:after="60"/>
      <w:outlineLvl w:val="7"/>
    </w:pPr>
    <w:rPr>
      <w:i/>
      <w:iCs/>
      <w:szCs w:val="24"/>
    </w:rPr>
  </w:style>
  <w:style w:type="paragraph" w:styleId="Ttulo9">
    <w:name w:val="heading 9"/>
    <w:basedOn w:val="Normal"/>
    <w:next w:val="Normal"/>
    <w:link w:val="Ttulo9Car"/>
    <w:qFormat/>
    <w:rsid w:val="00AB0460"/>
    <w:pPr>
      <w:numPr>
        <w:ilvl w:val="8"/>
        <w:numId w:val="9"/>
      </w:numPr>
      <w:spacing w:before="240" w:after="60"/>
      <w:outlineLvl w:val="8"/>
    </w:pPr>
    <w:rPr>
      <w:rFonts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5974F4"/>
    <w:rPr>
      <w:rFonts w:ascii="Arial" w:hAnsi="Arial" w:cs="Arial"/>
      <w:b/>
      <w:bCs/>
      <w:kern w:val="32"/>
      <w:sz w:val="16"/>
      <w:szCs w:val="32"/>
      <w:lang w:val="es-ES" w:eastAsia="es-CO"/>
    </w:rPr>
  </w:style>
  <w:style w:type="character" w:customStyle="1" w:styleId="Ttulo2Car">
    <w:name w:val="Título 2 Car"/>
    <w:link w:val="Ttulo2"/>
    <w:rsid w:val="005974F4"/>
    <w:rPr>
      <w:rFonts w:ascii="Arial" w:hAnsi="Arial" w:cs="Arial"/>
      <w:b/>
      <w:bCs/>
      <w:iCs/>
      <w:sz w:val="16"/>
      <w:szCs w:val="28"/>
      <w:lang w:val="es-ES" w:eastAsia="es-CO"/>
    </w:rPr>
  </w:style>
  <w:style w:type="character" w:customStyle="1" w:styleId="Ttulo3Car">
    <w:name w:val="Título 3 Car"/>
    <w:link w:val="Ttulo3"/>
    <w:rsid w:val="00AB0460"/>
    <w:rPr>
      <w:rFonts w:ascii="Arial" w:hAnsi="Arial" w:cs="Arial"/>
      <w:b/>
      <w:bCs/>
      <w:szCs w:val="26"/>
      <w:lang w:val="es-ES" w:eastAsia="es-ES"/>
    </w:rPr>
  </w:style>
  <w:style w:type="character" w:customStyle="1" w:styleId="Ttulo4Car">
    <w:name w:val="Título 4 Car"/>
    <w:link w:val="Ttulo4"/>
    <w:rsid w:val="00AB0460"/>
    <w:rPr>
      <w:rFonts w:ascii="Arial" w:hAnsi="Arial"/>
      <w:bCs/>
      <w:szCs w:val="28"/>
      <w:lang w:val="es-ES" w:eastAsia="es-ES"/>
    </w:rPr>
  </w:style>
  <w:style w:type="character" w:customStyle="1" w:styleId="Ttulo5Car">
    <w:name w:val="Título 5 Car"/>
    <w:link w:val="Ttulo5"/>
    <w:rsid w:val="00AB0460"/>
    <w:rPr>
      <w:b/>
      <w:bCs/>
      <w:iCs/>
      <w:szCs w:val="26"/>
      <w:u w:val="single"/>
      <w:lang w:val="es-ES" w:eastAsia="es-ES"/>
    </w:rPr>
  </w:style>
  <w:style w:type="character" w:customStyle="1" w:styleId="Ttulo6Car">
    <w:name w:val="Título 6 Car"/>
    <w:link w:val="Ttulo6"/>
    <w:rsid w:val="00AB0460"/>
    <w:rPr>
      <w:b/>
      <w:bCs/>
      <w:sz w:val="15"/>
      <w:szCs w:val="15"/>
      <w:lang w:val="es-ES" w:eastAsia="es-ES"/>
    </w:rPr>
  </w:style>
  <w:style w:type="character" w:customStyle="1" w:styleId="Ttulo7Car">
    <w:name w:val="Título 7 Car"/>
    <w:link w:val="Ttulo7"/>
    <w:rsid w:val="00AB0460"/>
    <w:rPr>
      <w:sz w:val="24"/>
      <w:szCs w:val="24"/>
      <w:lang w:val="es-ES" w:eastAsia="es-ES"/>
    </w:rPr>
  </w:style>
  <w:style w:type="character" w:customStyle="1" w:styleId="Ttulo8Car">
    <w:name w:val="Título 8 Car"/>
    <w:link w:val="Ttulo8"/>
    <w:rsid w:val="00AB0460"/>
    <w:rPr>
      <w:i/>
      <w:iCs/>
      <w:sz w:val="24"/>
      <w:szCs w:val="24"/>
      <w:lang w:val="es-ES" w:eastAsia="es-ES"/>
    </w:rPr>
  </w:style>
  <w:style w:type="character" w:customStyle="1" w:styleId="Ttulo9Car">
    <w:name w:val="Título 9 Car"/>
    <w:link w:val="Ttulo9"/>
    <w:rsid w:val="00AB0460"/>
    <w:rPr>
      <w:rFonts w:ascii="Arial" w:hAnsi="Arial" w:cs="Arial"/>
      <w:sz w:val="22"/>
      <w:szCs w:val="22"/>
      <w:lang w:val="es-ES" w:eastAsia="es-ES"/>
    </w:rPr>
  </w:style>
  <w:style w:type="paragraph" w:styleId="Ttulo">
    <w:name w:val="Title"/>
    <w:basedOn w:val="Normal"/>
    <w:link w:val="TtuloCar"/>
    <w:qFormat/>
    <w:rsid w:val="005974F4"/>
    <w:pPr>
      <w:jc w:val="center"/>
    </w:pPr>
    <w:rPr>
      <w:b/>
      <w:sz w:val="18"/>
    </w:rPr>
  </w:style>
  <w:style w:type="character" w:customStyle="1" w:styleId="TtuloCar">
    <w:name w:val="Título Car"/>
    <w:link w:val="Ttulo"/>
    <w:rsid w:val="005974F4"/>
    <w:rPr>
      <w:rFonts w:ascii="Arial" w:hAnsi="Arial"/>
      <w:b/>
      <w:sz w:val="18"/>
      <w:lang w:val="es-ES" w:eastAsia="es-CO"/>
    </w:rPr>
  </w:style>
  <w:style w:type="paragraph" w:styleId="Textoindependiente2">
    <w:name w:val="Body Text 2"/>
    <w:basedOn w:val="Normal"/>
    <w:link w:val="Textoindependiente2Car"/>
    <w:rsid w:val="005974F4"/>
    <w:pPr>
      <w:ind w:right="-801"/>
      <w:jc w:val="both"/>
    </w:pPr>
    <w:rPr>
      <w:b/>
      <w:sz w:val="18"/>
    </w:rPr>
  </w:style>
  <w:style w:type="character" w:customStyle="1" w:styleId="Textoindependiente2Car">
    <w:name w:val="Texto independiente 2 Car"/>
    <w:link w:val="Textoindependiente2"/>
    <w:rsid w:val="005974F4"/>
    <w:rPr>
      <w:rFonts w:ascii="Arial" w:hAnsi="Arial"/>
      <w:b/>
      <w:sz w:val="18"/>
      <w:lang w:val="es-ES" w:eastAsia="es-CO"/>
    </w:rPr>
  </w:style>
  <w:style w:type="paragraph" w:styleId="Textoindependiente">
    <w:name w:val="Body Text"/>
    <w:basedOn w:val="Normal"/>
    <w:link w:val="TextoindependienteCar"/>
    <w:uiPriority w:val="99"/>
    <w:rsid w:val="005974F4"/>
    <w:pPr>
      <w:jc w:val="both"/>
    </w:pPr>
    <w:rPr>
      <w:i/>
      <w:spacing w:val="20"/>
      <w:sz w:val="18"/>
      <w:lang w:eastAsia="x-none"/>
    </w:rPr>
  </w:style>
  <w:style w:type="character" w:customStyle="1" w:styleId="TextoindependienteCar">
    <w:name w:val="Texto independiente Car"/>
    <w:link w:val="Textoindependiente"/>
    <w:uiPriority w:val="99"/>
    <w:rsid w:val="005974F4"/>
    <w:rPr>
      <w:rFonts w:ascii="Arial" w:hAnsi="Arial"/>
      <w:i/>
      <w:spacing w:val="20"/>
      <w:sz w:val="18"/>
      <w:lang w:val="es-ES" w:eastAsia="x-none"/>
    </w:rPr>
  </w:style>
  <w:style w:type="paragraph" w:styleId="Textoindependiente3">
    <w:name w:val="Body Text 3"/>
    <w:basedOn w:val="Normal"/>
    <w:link w:val="Textoindependiente3Car"/>
    <w:uiPriority w:val="99"/>
    <w:rsid w:val="005974F4"/>
    <w:pPr>
      <w:ind w:right="51"/>
      <w:jc w:val="both"/>
    </w:pPr>
    <w:rPr>
      <w:sz w:val="18"/>
      <w:lang w:eastAsia="x-none"/>
    </w:rPr>
  </w:style>
  <w:style w:type="character" w:customStyle="1" w:styleId="Textoindependiente3Car">
    <w:name w:val="Texto independiente 3 Car"/>
    <w:link w:val="Textoindependiente3"/>
    <w:uiPriority w:val="99"/>
    <w:rsid w:val="005974F4"/>
    <w:rPr>
      <w:rFonts w:ascii="Arial" w:hAnsi="Arial"/>
      <w:sz w:val="18"/>
      <w:lang w:val="es-ES" w:eastAsia="x-none"/>
    </w:rPr>
  </w:style>
  <w:style w:type="paragraph" w:styleId="NormalWeb">
    <w:name w:val="Normal (Web)"/>
    <w:basedOn w:val="Normal"/>
    <w:uiPriority w:val="99"/>
    <w:unhideWhenUsed/>
    <w:rsid w:val="005974F4"/>
    <w:pPr>
      <w:spacing w:before="100" w:beforeAutospacing="1" w:after="100" w:afterAutospacing="1"/>
    </w:pPr>
    <w:rPr>
      <w:rFonts w:ascii="Times New Roman" w:hAnsi="Times New Roman"/>
      <w:szCs w:val="24"/>
      <w:lang w:eastAsia="es-ES"/>
    </w:rPr>
  </w:style>
  <w:style w:type="paragraph" w:styleId="Encabezado">
    <w:name w:val="header"/>
    <w:basedOn w:val="Normal"/>
    <w:link w:val="EncabezadoCar"/>
    <w:uiPriority w:val="99"/>
    <w:unhideWhenUsed/>
    <w:rsid w:val="00F30E2A"/>
    <w:pPr>
      <w:tabs>
        <w:tab w:val="center" w:pos="4419"/>
        <w:tab w:val="right" w:pos="8838"/>
      </w:tabs>
    </w:pPr>
  </w:style>
  <w:style w:type="character" w:customStyle="1" w:styleId="EncabezadoCar">
    <w:name w:val="Encabezado Car"/>
    <w:link w:val="Encabezado"/>
    <w:uiPriority w:val="99"/>
    <w:rsid w:val="00F30E2A"/>
    <w:rPr>
      <w:rFonts w:ascii="Arial" w:hAnsi="Arial"/>
      <w:sz w:val="24"/>
      <w:lang w:val="es-ES"/>
    </w:rPr>
  </w:style>
  <w:style w:type="paragraph" w:styleId="Piedepgina">
    <w:name w:val="footer"/>
    <w:basedOn w:val="Normal"/>
    <w:link w:val="PiedepginaCar"/>
    <w:unhideWhenUsed/>
    <w:rsid w:val="00F30E2A"/>
    <w:pPr>
      <w:tabs>
        <w:tab w:val="center" w:pos="4419"/>
        <w:tab w:val="right" w:pos="8838"/>
      </w:tabs>
    </w:pPr>
  </w:style>
  <w:style w:type="character" w:customStyle="1" w:styleId="PiedepginaCar">
    <w:name w:val="Pie de página Car"/>
    <w:link w:val="Piedepgina"/>
    <w:rsid w:val="00F30E2A"/>
    <w:rPr>
      <w:rFonts w:ascii="Arial" w:hAnsi="Arial"/>
      <w:sz w:val="24"/>
      <w:lang w:val="es-ES"/>
    </w:rPr>
  </w:style>
  <w:style w:type="character" w:styleId="Nmerodepgina">
    <w:name w:val="page number"/>
    <w:uiPriority w:val="99"/>
    <w:rsid w:val="00F30E2A"/>
    <w:rPr>
      <w:rFonts w:cs="Times New Roman"/>
    </w:rPr>
  </w:style>
  <w:style w:type="paragraph" w:customStyle="1" w:styleId="Encabezadodetabladecontenido1">
    <w:name w:val="Encabezado de tabla de contenido1"/>
    <w:basedOn w:val="Ttulo1"/>
    <w:next w:val="Normal"/>
    <w:uiPriority w:val="39"/>
    <w:semiHidden/>
    <w:unhideWhenUsed/>
    <w:qFormat/>
    <w:rsid w:val="00E62366"/>
    <w:pPr>
      <w:keepLines/>
      <w:spacing w:before="480" w:after="0" w:line="276" w:lineRule="auto"/>
      <w:outlineLvl w:val="9"/>
    </w:pPr>
    <w:rPr>
      <w:rFonts w:ascii="Cambria" w:hAnsi="Cambria" w:cs="Times New Roman"/>
      <w:color w:val="365F91"/>
      <w:kern w:val="0"/>
      <w:sz w:val="28"/>
      <w:szCs w:val="28"/>
      <w:lang w:val="es-CO"/>
    </w:rPr>
  </w:style>
  <w:style w:type="paragraph" w:styleId="TDC1">
    <w:name w:val="toc 1"/>
    <w:basedOn w:val="Normal"/>
    <w:next w:val="Normal"/>
    <w:autoRedefine/>
    <w:uiPriority w:val="39"/>
    <w:unhideWhenUsed/>
    <w:rsid w:val="00E62366"/>
    <w:pPr>
      <w:spacing w:before="240" w:after="120"/>
    </w:pPr>
    <w:rPr>
      <w:b/>
      <w:bCs/>
      <w:sz w:val="16"/>
    </w:rPr>
  </w:style>
  <w:style w:type="paragraph" w:styleId="TDC2">
    <w:name w:val="toc 2"/>
    <w:basedOn w:val="Normal"/>
    <w:next w:val="Normal"/>
    <w:autoRedefine/>
    <w:uiPriority w:val="39"/>
    <w:unhideWhenUsed/>
    <w:rsid w:val="001C3972"/>
    <w:pPr>
      <w:tabs>
        <w:tab w:val="right" w:leader="dot" w:pos="8830"/>
      </w:tabs>
      <w:ind w:left="240"/>
      <w:jc w:val="both"/>
    </w:pPr>
    <w:rPr>
      <w:iCs/>
      <w:sz w:val="16"/>
    </w:rPr>
  </w:style>
  <w:style w:type="character" w:styleId="Hipervnculo">
    <w:name w:val="Hyperlink"/>
    <w:uiPriority w:val="99"/>
    <w:unhideWhenUsed/>
    <w:rsid w:val="00E62366"/>
    <w:rPr>
      <w:color w:val="0000FF"/>
      <w:u w:val="single"/>
    </w:rPr>
  </w:style>
  <w:style w:type="paragraph" w:styleId="TDC3">
    <w:name w:val="toc 3"/>
    <w:basedOn w:val="Normal"/>
    <w:next w:val="Normal"/>
    <w:autoRedefine/>
    <w:uiPriority w:val="39"/>
    <w:unhideWhenUsed/>
    <w:rsid w:val="00E62366"/>
    <w:pPr>
      <w:ind w:left="480"/>
    </w:pPr>
    <w:rPr>
      <w:rFonts w:ascii="Calibri" w:hAnsi="Calibri"/>
      <w:sz w:val="20"/>
    </w:rPr>
  </w:style>
  <w:style w:type="paragraph" w:styleId="TDC4">
    <w:name w:val="toc 4"/>
    <w:basedOn w:val="Normal"/>
    <w:next w:val="Normal"/>
    <w:autoRedefine/>
    <w:uiPriority w:val="39"/>
    <w:unhideWhenUsed/>
    <w:rsid w:val="00E62366"/>
    <w:pPr>
      <w:ind w:left="720"/>
    </w:pPr>
    <w:rPr>
      <w:rFonts w:ascii="Calibri" w:hAnsi="Calibri"/>
      <w:sz w:val="20"/>
    </w:rPr>
  </w:style>
  <w:style w:type="paragraph" w:styleId="TDC5">
    <w:name w:val="toc 5"/>
    <w:basedOn w:val="Normal"/>
    <w:next w:val="Normal"/>
    <w:autoRedefine/>
    <w:uiPriority w:val="39"/>
    <w:unhideWhenUsed/>
    <w:rsid w:val="00E62366"/>
    <w:pPr>
      <w:ind w:left="960"/>
    </w:pPr>
    <w:rPr>
      <w:rFonts w:ascii="Calibri" w:hAnsi="Calibri"/>
      <w:sz w:val="20"/>
    </w:rPr>
  </w:style>
  <w:style w:type="paragraph" w:styleId="TDC6">
    <w:name w:val="toc 6"/>
    <w:basedOn w:val="Normal"/>
    <w:next w:val="Normal"/>
    <w:autoRedefine/>
    <w:uiPriority w:val="39"/>
    <w:unhideWhenUsed/>
    <w:rsid w:val="00E62366"/>
    <w:pPr>
      <w:ind w:left="1200"/>
    </w:pPr>
    <w:rPr>
      <w:rFonts w:ascii="Calibri" w:hAnsi="Calibri"/>
      <w:sz w:val="20"/>
    </w:rPr>
  </w:style>
  <w:style w:type="paragraph" w:styleId="TDC7">
    <w:name w:val="toc 7"/>
    <w:basedOn w:val="Normal"/>
    <w:next w:val="Normal"/>
    <w:autoRedefine/>
    <w:uiPriority w:val="39"/>
    <w:unhideWhenUsed/>
    <w:rsid w:val="00E62366"/>
    <w:pPr>
      <w:ind w:left="1440"/>
    </w:pPr>
    <w:rPr>
      <w:rFonts w:ascii="Calibri" w:hAnsi="Calibri"/>
      <w:sz w:val="20"/>
    </w:rPr>
  </w:style>
  <w:style w:type="paragraph" w:styleId="TDC8">
    <w:name w:val="toc 8"/>
    <w:basedOn w:val="Normal"/>
    <w:next w:val="Normal"/>
    <w:autoRedefine/>
    <w:uiPriority w:val="39"/>
    <w:unhideWhenUsed/>
    <w:rsid w:val="00E62366"/>
    <w:pPr>
      <w:ind w:left="1680"/>
    </w:pPr>
    <w:rPr>
      <w:rFonts w:ascii="Calibri" w:hAnsi="Calibri"/>
      <w:sz w:val="20"/>
    </w:rPr>
  </w:style>
  <w:style w:type="paragraph" w:styleId="TDC9">
    <w:name w:val="toc 9"/>
    <w:basedOn w:val="Normal"/>
    <w:next w:val="Normal"/>
    <w:autoRedefine/>
    <w:uiPriority w:val="39"/>
    <w:unhideWhenUsed/>
    <w:rsid w:val="00E62366"/>
    <w:pPr>
      <w:ind w:left="1920"/>
    </w:pPr>
    <w:rPr>
      <w:rFonts w:ascii="Calibri" w:hAnsi="Calibri"/>
      <w:sz w:val="20"/>
    </w:rPr>
  </w:style>
  <w:style w:type="paragraph" w:styleId="Textodeglobo">
    <w:name w:val="Balloon Text"/>
    <w:basedOn w:val="Normal"/>
    <w:link w:val="TextodegloboCar"/>
    <w:uiPriority w:val="99"/>
    <w:semiHidden/>
    <w:unhideWhenUsed/>
    <w:rsid w:val="00B03620"/>
    <w:rPr>
      <w:rFonts w:ascii="Lucida Grande" w:hAnsi="Lucida Grande" w:cs="Lucida Grande"/>
      <w:sz w:val="18"/>
      <w:szCs w:val="18"/>
    </w:rPr>
  </w:style>
  <w:style w:type="character" w:customStyle="1" w:styleId="TextodegloboCar">
    <w:name w:val="Texto de globo Car"/>
    <w:link w:val="Textodeglobo"/>
    <w:uiPriority w:val="99"/>
    <w:semiHidden/>
    <w:rsid w:val="00B03620"/>
    <w:rPr>
      <w:rFonts w:ascii="Lucida Grande" w:hAnsi="Lucida Grande" w:cs="Lucida Grande"/>
      <w:sz w:val="18"/>
      <w:szCs w:val="18"/>
      <w:lang w:val="es-ES" w:eastAsia="es-CO"/>
    </w:rPr>
  </w:style>
  <w:style w:type="paragraph" w:styleId="Prrafodelista">
    <w:name w:val="List Paragraph"/>
    <w:basedOn w:val="Normal"/>
    <w:uiPriority w:val="34"/>
    <w:qFormat/>
    <w:rsid w:val="008F1973"/>
    <w:pPr>
      <w:ind w:left="720"/>
      <w:contextualSpacing/>
    </w:pPr>
  </w:style>
  <w:style w:type="paragraph" w:customStyle="1" w:styleId="ListParagraph1">
    <w:name w:val="List Paragraph1"/>
    <w:basedOn w:val="Normal"/>
    <w:uiPriority w:val="99"/>
    <w:rsid w:val="00E23C8A"/>
    <w:pPr>
      <w:pBdr>
        <w:left w:val="single" w:sz="4" w:space="1" w:color="auto"/>
      </w:pBdr>
      <w:ind w:left="720"/>
      <w:contextualSpacing/>
      <w:jc w:val="both"/>
    </w:pPr>
    <w:rPr>
      <w:rFonts w:cs="Arial"/>
      <w:b/>
      <w:sz w:val="20"/>
      <w:lang w:eastAsia="en-US"/>
    </w:rPr>
  </w:style>
  <w:style w:type="paragraph" w:styleId="Textocomentario">
    <w:name w:val="annotation text"/>
    <w:basedOn w:val="Normal"/>
    <w:link w:val="TextocomentarioCar"/>
    <w:uiPriority w:val="99"/>
    <w:semiHidden/>
    <w:unhideWhenUsed/>
    <w:rsid w:val="00F24D2F"/>
    <w:rPr>
      <w:sz w:val="20"/>
    </w:rPr>
  </w:style>
  <w:style w:type="character" w:customStyle="1" w:styleId="TextocomentarioCar">
    <w:name w:val="Texto comentario Car"/>
    <w:basedOn w:val="Fuentedeprrafopredeter"/>
    <w:link w:val="Textocomentario"/>
    <w:uiPriority w:val="99"/>
    <w:semiHidden/>
    <w:rsid w:val="00F24D2F"/>
    <w:rPr>
      <w:rFonts w:ascii="Arial" w:hAnsi="Arial"/>
      <w:lang w:val="es-ES" w:eastAsia="es-CO"/>
    </w:rPr>
  </w:style>
  <w:style w:type="paragraph" w:styleId="Asuntodelcomentario">
    <w:name w:val="annotation subject"/>
    <w:basedOn w:val="Textocomentario"/>
    <w:next w:val="Textocomentario"/>
    <w:link w:val="AsuntodelcomentarioCar"/>
    <w:uiPriority w:val="99"/>
    <w:semiHidden/>
    <w:rsid w:val="00F24D2F"/>
    <w:pPr>
      <w:jc w:val="both"/>
    </w:pPr>
    <w:rPr>
      <w:b/>
      <w:bCs/>
      <w:lang w:val="es-ES_tradnl" w:eastAsia="es-ES"/>
    </w:rPr>
  </w:style>
  <w:style w:type="character" w:customStyle="1" w:styleId="AsuntodelcomentarioCar">
    <w:name w:val="Asunto del comentario Car"/>
    <w:basedOn w:val="TextocomentarioCar"/>
    <w:link w:val="Asuntodelcomentario"/>
    <w:uiPriority w:val="99"/>
    <w:semiHidden/>
    <w:rsid w:val="00F24D2F"/>
    <w:rPr>
      <w:rFonts w:ascii="Arial" w:hAnsi="Arial"/>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449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0FD68574237D849A835D1FFB895F586" ma:contentTypeVersion="4" ma:contentTypeDescription="Crear nuevo documento." ma:contentTypeScope="" ma:versionID="1746293a2f1bdf4ca5a4ecf965289764">
  <xsd:schema xmlns:xsd="http://www.w3.org/2001/XMLSchema" xmlns:xs="http://www.w3.org/2001/XMLSchema" xmlns:p="http://schemas.microsoft.com/office/2006/metadata/properties" xmlns:ns2="2806e0fb-3321-4a19-a0bb-629fbbee7344" xmlns:ns3="87507fc1-2ee4-4bca-8654-35e95601ee33" targetNamespace="http://schemas.microsoft.com/office/2006/metadata/properties" ma:root="true" ma:fieldsID="d7b1bc0c42af8b5bb8ca7b880f60357e" ns2:_="" ns3:_="">
    <xsd:import namespace="2806e0fb-3321-4a19-a0bb-629fbbee7344"/>
    <xsd:import namespace="87507fc1-2ee4-4bca-8654-35e95601e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6e0fb-3321-4a19-a0bb-629fbbee73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507fc1-2ee4-4bca-8654-35e95601ee33"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1FE2A-216F-4E37-9187-DB2667EC6C18}">
  <ds:schemaRefs>
    <ds:schemaRef ds:uri="http://schemas.microsoft.com/office/2006/documentManagement/types"/>
    <ds:schemaRef ds:uri="09f3234f-540a-47d9-9911-831b2befbdf1"/>
    <ds:schemaRef ds:uri="http://purl.org/dc/dcmitype/"/>
    <ds:schemaRef ds:uri="4b7b0785-c4d7-436d-b897-38901db80b41"/>
    <ds:schemaRef ds:uri="http://purl.org/dc/elements/1.1/"/>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CAC13F03-9FCB-4681-8F30-3DEDD345064C}"/>
</file>

<file path=customXml/itemProps3.xml><?xml version="1.0" encoding="utf-8"?>
<ds:datastoreItem xmlns:ds="http://schemas.openxmlformats.org/officeDocument/2006/customXml" ds:itemID="{7FB7F6E1-1FF0-458E-8BFD-2F71517791B6}">
  <ds:schemaRefs>
    <ds:schemaRef ds:uri="http://schemas.microsoft.com/sharepoint/v3/contenttype/forms"/>
  </ds:schemaRefs>
</ds:datastoreItem>
</file>

<file path=customXml/itemProps4.xml><?xml version="1.0" encoding="utf-8"?>
<ds:datastoreItem xmlns:ds="http://schemas.openxmlformats.org/officeDocument/2006/customXml" ds:itemID="{9597B755-9CEE-4F3F-9047-6DFCBBB19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3172</Words>
  <Characters>17448</Characters>
  <Application>Microsoft Office Word</Application>
  <DocSecurity>0</DocSecurity>
  <Lines>145</Lines>
  <Paragraphs>41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Toshiba</Company>
  <LinksUpToDate>false</LinksUpToDate>
  <CharactersWithSpaces>20579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Yuri Castañeda</dc:creator>
  <cp:keywords/>
  <cp:lastModifiedBy>Juan Camilo Zuluaga Gomez</cp:lastModifiedBy>
  <cp:revision>7</cp:revision>
  <dcterms:created xsi:type="dcterms:W3CDTF">2021-03-24T23:06:00Z</dcterms:created>
  <dcterms:modified xsi:type="dcterms:W3CDTF">2021-03-25T00:00:00Z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0x010100C0FD68574237D849A835D1FFB895F586</vt:lpwstr>
  </property>
</Properties>
</file>