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2DA549" w14:textId="77777777" w:rsidR="005E5766" w:rsidRDefault="00D866FA" w:rsidP="00FE2B7E">
      <w:pPr>
        <w:tabs>
          <w:tab w:val="left" w:pos="567"/>
        </w:tabs>
        <w:ind w:left="0" w:firstLine="0"/>
        <w:outlineLvl w:val="2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Las SEDPE debe</w:t>
      </w:r>
      <w:r w:rsidR="00F04484">
        <w:rPr>
          <w:rFonts w:cs="Arial"/>
          <w:sz w:val="16"/>
          <w:szCs w:val="16"/>
        </w:rPr>
        <w:t>n</w:t>
      </w:r>
      <w:r>
        <w:rPr>
          <w:rFonts w:cs="Arial"/>
          <w:sz w:val="16"/>
          <w:szCs w:val="16"/>
        </w:rPr>
        <w:t xml:space="preserve"> contar con mecanismos apropiados que le</w:t>
      </w:r>
      <w:r w:rsidR="00FD6E1F">
        <w:rPr>
          <w:rFonts w:cs="Arial"/>
          <w:sz w:val="16"/>
          <w:szCs w:val="16"/>
        </w:rPr>
        <w:t>s</w:t>
      </w:r>
      <w:r>
        <w:rPr>
          <w:rFonts w:cs="Arial"/>
          <w:sz w:val="16"/>
          <w:szCs w:val="16"/>
        </w:rPr>
        <w:t xml:space="preserve"> permitan realizar la devolución </w:t>
      </w:r>
      <w:r w:rsidR="00580DE5">
        <w:rPr>
          <w:rFonts w:cs="Arial"/>
          <w:sz w:val="16"/>
          <w:szCs w:val="16"/>
        </w:rPr>
        <w:t xml:space="preserve">al ordenante </w:t>
      </w:r>
      <w:r>
        <w:rPr>
          <w:rFonts w:cs="Arial"/>
          <w:sz w:val="16"/>
          <w:szCs w:val="16"/>
        </w:rPr>
        <w:t>de</w:t>
      </w:r>
      <w:r w:rsidR="00580DE5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l</w:t>
      </w:r>
      <w:r w:rsidR="00580DE5">
        <w:rPr>
          <w:rFonts w:cs="Arial"/>
          <w:sz w:val="16"/>
          <w:szCs w:val="16"/>
        </w:rPr>
        <w:t>os</w:t>
      </w:r>
      <w:r>
        <w:rPr>
          <w:rFonts w:cs="Arial"/>
          <w:sz w:val="16"/>
          <w:szCs w:val="16"/>
        </w:rPr>
        <w:t xml:space="preserve"> giro</w:t>
      </w:r>
      <w:r w:rsidR="00580DE5">
        <w:rPr>
          <w:rFonts w:cs="Arial"/>
          <w:sz w:val="16"/>
          <w:szCs w:val="16"/>
        </w:rPr>
        <w:t>s</w:t>
      </w:r>
      <w:r>
        <w:rPr>
          <w:rFonts w:cs="Arial"/>
          <w:sz w:val="16"/>
          <w:szCs w:val="16"/>
        </w:rPr>
        <w:t xml:space="preserve"> financiero</w:t>
      </w:r>
      <w:r w:rsidR="00580DE5">
        <w:rPr>
          <w:rFonts w:cs="Arial"/>
          <w:sz w:val="16"/>
          <w:szCs w:val="16"/>
        </w:rPr>
        <w:t>s en los casos en los que</w:t>
      </w:r>
      <w:r w:rsidR="00121C58" w:rsidRPr="00121C58">
        <w:rPr>
          <w:rFonts w:cs="Arial"/>
          <w:sz w:val="16"/>
          <w:szCs w:val="16"/>
        </w:rPr>
        <w:t xml:space="preserve"> </w:t>
      </w:r>
      <w:r w:rsidR="00C0027B">
        <w:rPr>
          <w:rFonts w:cs="Arial"/>
          <w:sz w:val="16"/>
          <w:szCs w:val="16"/>
        </w:rPr>
        <w:t xml:space="preserve">éstos </w:t>
      </w:r>
      <w:r>
        <w:rPr>
          <w:rFonts w:cs="Arial"/>
          <w:sz w:val="16"/>
          <w:szCs w:val="16"/>
        </w:rPr>
        <w:t>no sea</w:t>
      </w:r>
      <w:r w:rsidR="00580DE5">
        <w:rPr>
          <w:rFonts w:cs="Arial"/>
          <w:sz w:val="16"/>
          <w:szCs w:val="16"/>
        </w:rPr>
        <w:t>n</w:t>
      </w:r>
      <w:r>
        <w:rPr>
          <w:rFonts w:cs="Arial"/>
          <w:sz w:val="16"/>
          <w:szCs w:val="16"/>
        </w:rPr>
        <w:t xml:space="preserve"> reclamado</w:t>
      </w:r>
      <w:r w:rsidR="00580DE5">
        <w:rPr>
          <w:rFonts w:cs="Arial"/>
          <w:sz w:val="16"/>
          <w:szCs w:val="16"/>
        </w:rPr>
        <w:t>s</w:t>
      </w:r>
      <w:r>
        <w:rPr>
          <w:rFonts w:cs="Arial"/>
          <w:sz w:val="16"/>
          <w:szCs w:val="16"/>
        </w:rPr>
        <w:t xml:space="preserve"> por el benefic</w:t>
      </w:r>
      <w:r w:rsidR="00863919">
        <w:rPr>
          <w:rFonts w:cs="Arial"/>
          <w:sz w:val="16"/>
          <w:szCs w:val="16"/>
        </w:rPr>
        <w:t>iario dentro de un plazo de 30</w:t>
      </w:r>
      <w:r>
        <w:rPr>
          <w:rFonts w:cs="Arial"/>
          <w:sz w:val="16"/>
          <w:szCs w:val="16"/>
        </w:rPr>
        <w:t xml:space="preserve"> </w:t>
      </w:r>
      <w:r w:rsidR="00863919">
        <w:rPr>
          <w:rFonts w:cs="Arial"/>
          <w:sz w:val="16"/>
          <w:szCs w:val="16"/>
        </w:rPr>
        <w:t>días hábiles siguientes</w:t>
      </w:r>
      <w:r>
        <w:rPr>
          <w:rFonts w:cs="Arial"/>
          <w:sz w:val="16"/>
          <w:szCs w:val="16"/>
        </w:rPr>
        <w:t>,</w:t>
      </w:r>
      <w:r w:rsidR="00121C58" w:rsidRPr="00121C58">
        <w:rPr>
          <w:rFonts w:cs="Arial"/>
          <w:sz w:val="16"/>
          <w:szCs w:val="16"/>
        </w:rPr>
        <w:t xml:space="preserve"> </w:t>
      </w:r>
      <w:r w:rsidR="00863919">
        <w:rPr>
          <w:rFonts w:cs="Arial"/>
          <w:sz w:val="16"/>
          <w:szCs w:val="16"/>
        </w:rPr>
        <w:t>contados</w:t>
      </w:r>
      <w:r w:rsidR="00121C58" w:rsidRPr="00121C58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a partir de la fecha en la cual se ordenó</w:t>
      </w:r>
      <w:r w:rsidR="00121C58" w:rsidRPr="00121C58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el mismo.</w:t>
      </w:r>
    </w:p>
    <w:p w14:paraId="4F2A8E40" w14:textId="77777777" w:rsidR="008870E5" w:rsidRDefault="008870E5" w:rsidP="00FE2B7E">
      <w:pPr>
        <w:tabs>
          <w:tab w:val="left" w:pos="567"/>
        </w:tabs>
        <w:ind w:left="0" w:firstLine="0"/>
        <w:outlineLvl w:val="2"/>
        <w:rPr>
          <w:rFonts w:cs="Arial"/>
          <w:sz w:val="16"/>
          <w:szCs w:val="16"/>
        </w:rPr>
      </w:pPr>
    </w:p>
    <w:p w14:paraId="2EA017F3" w14:textId="77777777" w:rsidR="00783445" w:rsidRDefault="00783445" w:rsidP="00FE2B7E">
      <w:pPr>
        <w:tabs>
          <w:tab w:val="left" w:pos="567"/>
        </w:tabs>
        <w:ind w:left="0" w:firstLine="0"/>
        <w:outlineLvl w:val="2"/>
        <w:rPr>
          <w:rFonts w:cs="Arial"/>
          <w:sz w:val="16"/>
          <w:szCs w:val="16"/>
        </w:rPr>
      </w:pPr>
    </w:p>
    <w:p w14:paraId="4EC39D64" w14:textId="77777777" w:rsidR="00783445" w:rsidRDefault="00783445" w:rsidP="00FE2B7E">
      <w:pPr>
        <w:tabs>
          <w:tab w:val="left" w:pos="567"/>
        </w:tabs>
        <w:ind w:left="0" w:firstLine="0"/>
        <w:outlineLvl w:val="2"/>
        <w:rPr>
          <w:rFonts w:cs="Arial"/>
          <w:sz w:val="16"/>
          <w:szCs w:val="16"/>
        </w:rPr>
      </w:pPr>
    </w:p>
    <w:p w14:paraId="4179F68C" w14:textId="77777777" w:rsidR="00D356B9" w:rsidRPr="00925FBD" w:rsidRDefault="00D67717" w:rsidP="008D5F35">
      <w:pPr>
        <w:pStyle w:val="Prrafodelista"/>
        <w:numPr>
          <w:ilvl w:val="0"/>
          <w:numId w:val="24"/>
        </w:numPr>
        <w:tabs>
          <w:tab w:val="left" w:pos="567"/>
        </w:tabs>
        <w:contextualSpacing w:val="0"/>
        <w:outlineLvl w:val="2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 xml:space="preserve">PUBLICIDAD, </w:t>
      </w:r>
      <w:r w:rsidR="00DE3212" w:rsidRPr="00925FBD">
        <w:rPr>
          <w:rFonts w:cs="Arial"/>
          <w:b/>
          <w:sz w:val="16"/>
          <w:szCs w:val="16"/>
        </w:rPr>
        <w:t>INFORMACIÓN</w:t>
      </w:r>
      <w:r>
        <w:rPr>
          <w:rFonts w:cs="Arial"/>
          <w:b/>
          <w:sz w:val="16"/>
          <w:szCs w:val="16"/>
        </w:rPr>
        <w:t xml:space="preserve"> Y PROTECCIÓN</w:t>
      </w:r>
      <w:r w:rsidR="00DE3212" w:rsidRPr="00925FBD">
        <w:rPr>
          <w:rFonts w:cs="Arial"/>
          <w:b/>
          <w:sz w:val="16"/>
          <w:szCs w:val="16"/>
        </w:rPr>
        <w:t xml:space="preserve"> </w:t>
      </w:r>
      <w:r w:rsidR="00390FA5" w:rsidRPr="00925FBD">
        <w:rPr>
          <w:rFonts w:cs="Arial"/>
          <w:b/>
          <w:sz w:val="16"/>
          <w:szCs w:val="16"/>
        </w:rPr>
        <w:t xml:space="preserve">AL CONSUMIDOR FINANCIERO </w:t>
      </w:r>
    </w:p>
    <w:p w14:paraId="7EF41DF1" w14:textId="77777777" w:rsidR="006F006C" w:rsidRPr="00925FBD" w:rsidRDefault="006F006C" w:rsidP="00472468">
      <w:pPr>
        <w:ind w:left="0" w:firstLine="0"/>
        <w:rPr>
          <w:sz w:val="16"/>
          <w:szCs w:val="16"/>
          <w:highlight w:val="cyan"/>
          <w:lang w:val="es-CO"/>
        </w:rPr>
      </w:pPr>
    </w:p>
    <w:p w14:paraId="762D9285" w14:textId="77777777" w:rsidR="006F006C" w:rsidRPr="00925FBD" w:rsidRDefault="00084666" w:rsidP="006F006C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L</w:t>
      </w:r>
      <w:r w:rsidR="006F006C" w:rsidRPr="00925FBD">
        <w:rPr>
          <w:sz w:val="16"/>
          <w:szCs w:val="16"/>
          <w:lang w:val="es-CO"/>
        </w:rPr>
        <w:t xml:space="preserve">as SEDPE deben </w:t>
      </w:r>
      <w:r>
        <w:rPr>
          <w:sz w:val="16"/>
          <w:szCs w:val="16"/>
          <w:lang w:val="es-CO"/>
        </w:rPr>
        <w:t>atender</w:t>
      </w:r>
      <w:r w:rsidR="006F006C" w:rsidRPr="00925FBD">
        <w:rPr>
          <w:sz w:val="16"/>
          <w:szCs w:val="16"/>
          <w:lang w:val="es-CO"/>
        </w:rPr>
        <w:t xml:space="preserve"> las reglas previstas en el Capítulo I del Título III de la Parte I de la </w:t>
      </w:r>
      <w:r w:rsidR="0033379F">
        <w:rPr>
          <w:sz w:val="16"/>
          <w:szCs w:val="16"/>
          <w:lang w:val="es-CO"/>
        </w:rPr>
        <w:t>CBJ</w:t>
      </w:r>
      <w:r w:rsidRPr="00084666">
        <w:rPr>
          <w:sz w:val="16"/>
          <w:szCs w:val="16"/>
          <w:lang w:val="es-CO"/>
        </w:rPr>
        <w:t xml:space="preserve"> </w:t>
      </w:r>
      <w:r>
        <w:rPr>
          <w:sz w:val="16"/>
          <w:szCs w:val="16"/>
          <w:lang w:val="es-CO"/>
        </w:rPr>
        <w:t>en cuanto a</w:t>
      </w:r>
      <w:r w:rsidR="008870E5">
        <w:rPr>
          <w:sz w:val="16"/>
          <w:szCs w:val="16"/>
          <w:lang w:val="es-CO"/>
        </w:rPr>
        <w:t>l</w:t>
      </w:r>
      <w:r>
        <w:rPr>
          <w:sz w:val="16"/>
          <w:szCs w:val="16"/>
          <w:lang w:val="es-CO"/>
        </w:rPr>
        <w:t xml:space="preserve"> </w:t>
      </w:r>
      <w:r w:rsidR="008870E5">
        <w:rPr>
          <w:sz w:val="16"/>
          <w:szCs w:val="16"/>
          <w:lang w:val="es-CO"/>
        </w:rPr>
        <w:t xml:space="preserve">acceso a los servicios, </w:t>
      </w:r>
      <w:r>
        <w:rPr>
          <w:sz w:val="16"/>
          <w:szCs w:val="16"/>
          <w:lang w:val="es-CO"/>
        </w:rPr>
        <w:t>l</w:t>
      </w:r>
      <w:r w:rsidRPr="00925FBD">
        <w:rPr>
          <w:sz w:val="16"/>
          <w:szCs w:val="16"/>
          <w:lang w:val="es-CO"/>
        </w:rPr>
        <w:t>os programas publicitarios</w:t>
      </w:r>
      <w:r>
        <w:rPr>
          <w:sz w:val="16"/>
          <w:szCs w:val="16"/>
          <w:lang w:val="es-CO"/>
        </w:rPr>
        <w:t xml:space="preserve"> y</w:t>
      </w:r>
      <w:r w:rsidRPr="00084666">
        <w:rPr>
          <w:sz w:val="16"/>
          <w:szCs w:val="16"/>
          <w:lang w:val="es-CO"/>
        </w:rPr>
        <w:t xml:space="preserve"> </w:t>
      </w:r>
      <w:r>
        <w:rPr>
          <w:sz w:val="16"/>
          <w:szCs w:val="16"/>
          <w:lang w:val="es-CO"/>
        </w:rPr>
        <w:t>los requisitos de información al consumidor financiero, que le sean aplicables conforme a la naturaleza de las operaciones que les han sido autorizadas</w:t>
      </w:r>
      <w:r w:rsidR="006F006C" w:rsidRPr="00925FBD">
        <w:rPr>
          <w:sz w:val="16"/>
          <w:szCs w:val="16"/>
          <w:lang w:val="es-CO"/>
        </w:rPr>
        <w:t>.</w:t>
      </w:r>
    </w:p>
    <w:p w14:paraId="4D5AEEC7" w14:textId="77777777" w:rsidR="006F006C" w:rsidRPr="00925FBD" w:rsidRDefault="006F006C" w:rsidP="00472468">
      <w:pPr>
        <w:ind w:left="0" w:firstLine="0"/>
        <w:rPr>
          <w:sz w:val="16"/>
          <w:szCs w:val="16"/>
          <w:highlight w:val="cyan"/>
          <w:lang w:val="es-CO"/>
        </w:rPr>
      </w:pPr>
    </w:p>
    <w:p w14:paraId="348728E0" w14:textId="77777777" w:rsidR="00FA29F5" w:rsidRPr="00FA29F5" w:rsidRDefault="00FA29F5" w:rsidP="00FA29F5">
      <w:pPr>
        <w:pStyle w:val="Ttulo2"/>
        <w:rPr>
          <w:bCs w:val="0"/>
          <w:sz w:val="16"/>
          <w:szCs w:val="16"/>
          <w:lang w:val="es-CO"/>
        </w:rPr>
      </w:pPr>
      <w:r w:rsidRPr="00FA29F5">
        <w:rPr>
          <w:bCs w:val="0"/>
          <w:sz w:val="16"/>
          <w:szCs w:val="16"/>
          <w:lang w:val="es-CO"/>
        </w:rPr>
        <w:t>6.1. Información</w:t>
      </w:r>
    </w:p>
    <w:p w14:paraId="4037F862" w14:textId="77777777" w:rsidR="00FA29F5" w:rsidRDefault="00FA29F5" w:rsidP="00472468">
      <w:pPr>
        <w:ind w:left="0" w:firstLine="0"/>
        <w:rPr>
          <w:sz w:val="16"/>
          <w:szCs w:val="16"/>
          <w:lang w:val="es-CO"/>
        </w:rPr>
      </w:pPr>
    </w:p>
    <w:p w14:paraId="3E40ADBB" w14:textId="77777777" w:rsidR="00472468" w:rsidRPr="00925FBD" w:rsidRDefault="00472468" w:rsidP="00472468">
      <w:pPr>
        <w:ind w:left="0" w:firstLine="0"/>
        <w:rPr>
          <w:sz w:val="16"/>
          <w:szCs w:val="16"/>
          <w:lang w:val="es-CO"/>
        </w:rPr>
      </w:pPr>
      <w:r w:rsidRPr="00925FBD">
        <w:rPr>
          <w:sz w:val="16"/>
          <w:szCs w:val="16"/>
          <w:lang w:val="es-CO"/>
        </w:rPr>
        <w:t>Además de la información que por virtud de las disposiciones legales vigentes deban divulgar las SEDPE a sus consumidores financieros, debe</w:t>
      </w:r>
      <w:r w:rsidR="007C50C1">
        <w:rPr>
          <w:sz w:val="16"/>
          <w:szCs w:val="16"/>
          <w:lang w:val="es-CO"/>
        </w:rPr>
        <w:t>n</w:t>
      </w:r>
      <w:r w:rsidRPr="00925FBD">
        <w:rPr>
          <w:sz w:val="16"/>
          <w:szCs w:val="16"/>
          <w:lang w:val="es-CO"/>
        </w:rPr>
        <w:t xml:space="preserve"> </w:t>
      </w:r>
      <w:r w:rsidR="00EB24B9" w:rsidRPr="00925FBD">
        <w:rPr>
          <w:sz w:val="16"/>
          <w:szCs w:val="16"/>
          <w:lang w:val="es-CO"/>
        </w:rPr>
        <w:t>suministrar</w:t>
      </w:r>
      <w:r w:rsidRPr="00925FBD">
        <w:rPr>
          <w:sz w:val="16"/>
          <w:szCs w:val="16"/>
          <w:lang w:val="es-CO"/>
        </w:rPr>
        <w:t xml:space="preserve"> de manera particular, lo siguiente:</w:t>
      </w:r>
    </w:p>
    <w:p w14:paraId="5255A883" w14:textId="77777777" w:rsidR="00472468" w:rsidRPr="00925FBD" w:rsidRDefault="00472468" w:rsidP="00472468">
      <w:pPr>
        <w:rPr>
          <w:sz w:val="16"/>
          <w:szCs w:val="16"/>
          <w:lang w:val="es-CO"/>
        </w:rPr>
      </w:pPr>
      <w:r w:rsidRPr="00925FBD" w:rsidDel="00BD527E">
        <w:rPr>
          <w:sz w:val="16"/>
          <w:szCs w:val="16"/>
          <w:lang w:val="es-CO"/>
        </w:rPr>
        <w:t xml:space="preserve"> </w:t>
      </w:r>
    </w:p>
    <w:p w14:paraId="3B2E91AA" w14:textId="77777777" w:rsidR="00472468" w:rsidRPr="00FA29F5" w:rsidRDefault="00FA29F5" w:rsidP="00FA29F5">
      <w:pPr>
        <w:ind w:left="0" w:firstLine="0"/>
        <w:rPr>
          <w:sz w:val="16"/>
          <w:szCs w:val="16"/>
          <w:lang w:val="es-CO"/>
        </w:rPr>
      </w:pPr>
      <w:r w:rsidRPr="00FA29F5">
        <w:rPr>
          <w:sz w:val="16"/>
          <w:szCs w:val="16"/>
          <w:lang w:val="es-CO"/>
        </w:rPr>
        <w:t>6.</w:t>
      </w:r>
      <w:r>
        <w:rPr>
          <w:sz w:val="16"/>
          <w:szCs w:val="16"/>
          <w:lang w:val="es-CO"/>
        </w:rPr>
        <w:t xml:space="preserve">1.1. </w:t>
      </w:r>
      <w:r w:rsidR="000054D2">
        <w:rPr>
          <w:sz w:val="16"/>
          <w:szCs w:val="16"/>
          <w:lang w:val="es-CO"/>
        </w:rPr>
        <w:t>Q</w:t>
      </w:r>
      <w:r w:rsidR="00472468" w:rsidRPr="00FA29F5">
        <w:rPr>
          <w:sz w:val="16"/>
          <w:szCs w:val="16"/>
          <w:lang w:val="es-CO"/>
        </w:rPr>
        <w:t>ue los depósitos electrónico</w:t>
      </w:r>
      <w:r w:rsidR="00010999" w:rsidRPr="00FA29F5">
        <w:rPr>
          <w:sz w:val="16"/>
          <w:szCs w:val="16"/>
          <w:lang w:val="es-CO"/>
        </w:rPr>
        <w:t>s</w:t>
      </w:r>
      <w:r w:rsidR="00472468" w:rsidRPr="00FA29F5">
        <w:rPr>
          <w:sz w:val="16"/>
          <w:szCs w:val="16"/>
          <w:lang w:val="es-CO"/>
        </w:rPr>
        <w:t xml:space="preserve"> se encuentran amparados por el</w:t>
      </w:r>
      <w:r w:rsidR="00FE3BDC">
        <w:rPr>
          <w:sz w:val="16"/>
          <w:szCs w:val="16"/>
          <w:lang w:val="es-CO"/>
        </w:rPr>
        <w:t xml:space="preserve"> seguro de depósito del FOGAFÍN</w:t>
      </w:r>
      <w:r w:rsidR="00FE3BDC" w:rsidRPr="00FE3BDC">
        <w:rPr>
          <w:sz w:val="16"/>
          <w:szCs w:val="16"/>
          <w:lang w:val="es-CO"/>
        </w:rPr>
        <w:t xml:space="preserve">, en los términos establecidos en los subnumerales 2.7, 2.8 y 2.9 del Capítulo I, Título III de la Parte I de la </w:t>
      </w:r>
      <w:r w:rsidR="00FE3BDC">
        <w:rPr>
          <w:sz w:val="16"/>
          <w:szCs w:val="16"/>
          <w:lang w:val="es-CO"/>
        </w:rPr>
        <w:t>CBJ.</w:t>
      </w:r>
    </w:p>
    <w:p w14:paraId="04970C11" w14:textId="77777777" w:rsidR="00472468" w:rsidRPr="00925FBD" w:rsidRDefault="00472468" w:rsidP="00E04811">
      <w:pPr>
        <w:ind w:left="624" w:firstLine="0"/>
        <w:rPr>
          <w:sz w:val="16"/>
          <w:szCs w:val="16"/>
          <w:lang w:val="es-CO"/>
        </w:rPr>
      </w:pPr>
    </w:p>
    <w:p w14:paraId="31B68B78" w14:textId="77777777" w:rsidR="00472468" w:rsidRPr="00E04811" w:rsidRDefault="00860BA8" w:rsidP="00E04811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6</w:t>
      </w:r>
      <w:r w:rsidR="00FA29F5">
        <w:rPr>
          <w:sz w:val="16"/>
          <w:szCs w:val="16"/>
          <w:lang w:val="es-CO"/>
        </w:rPr>
        <w:t xml:space="preserve">.1.2. </w:t>
      </w:r>
      <w:r w:rsidR="00083655" w:rsidRPr="00E04811">
        <w:rPr>
          <w:sz w:val="16"/>
          <w:szCs w:val="16"/>
          <w:lang w:val="es-CO"/>
        </w:rPr>
        <w:t>De conformidad con lo dispuesto en la Ley 1328 de 2009, la</w:t>
      </w:r>
      <w:r w:rsidR="00EB24B9" w:rsidRPr="00E04811">
        <w:rPr>
          <w:sz w:val="16"/>
          <w:szCs w:val="16"/>
          <w:lang w:val="es-CO"/>
        </w:rPr>
        <w:t>s</w:t>
      </w:r>
      <w:r w:rsidR="00083655" w:rsidRPr="00E04811">
        <w:rPr>
          <w:sz w:val="16"/>
          <w:szCs w:val="16"/>
          <w:lang w:val="es-CO"/>
        </w:rPr>
        <w:t xml:space="preserve"> SEDPE debe</w:t>
      </w:r>
      <w:r w:rsidR="00EB24B9" w:rsidRPr="00E04811">
        <w:rPr>
          <w:sz w:val="16"/>
          <w:szCs w:val="16"/>
          <w:lang w:val="es-CO"/>
        </w:rPr>
        <w:t>n</w:t>
      </w:r>
      <w:r w:rsidR="00083655" w:rsidRPr="00E04811">
        <w:rPr>
          <w:sz w:val="16"/>
          <w:szCs w:val="16"/>
          <w:lang w:val="es-CO"/>
        </w:rPr>
        <w:t xml:space="preserve"> divulgar de manera permanente la información de los precios de todos los productos y servicios que se ofrezcan de manera masiva</w:t>
      </w:r>
      <w:r w:rsidR="00472468" w:rsidRPr="00E04811">
        <w:rPr>
          <w:sz w:val="16"/>
          <w:szCs w:val="16"/>
          <w:lang w:val="es-CO"/>
        </w:rPr>
        <w:t>.</w:t>
      </w:r>
    </w:p>
    <w:p w14:paraId="43114346" w14:textId="77777777" w:rsidR="00472468" w:rsidRPr="00925FBD" w:rsidRDefault="00472468" w:rsidP="00E04811">
      <w:pPr>
        <w:ind w:left="-207" w:firstLine="0"/>
        <w:rPr>
          <w:sz w:val="16"/>
          <w:szCs w:val="16"/>
          <w:lang w:val="es-CO"/>
        </w:rPr>
      </w:pPr>
    </w:p>
    <w:p w14:paraId="084EB59E" w14:textId="77777777" w:rsidR="0022662A" w:rsidRPr="00E04811" w:rsidRDefault="00860BA8" w:rsidP="00E04811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6</w:t>
      </w:r>
      <w:r w:rsidR="00FA29F5">
        <w:rPr>
          <w:sz w:val="16"/>
          <w:szCs w:val="16"/>
          <w:lang w:val="es-CO"/>
        </w:rPr>
        <w:t>.1.</w:t>
      </w:r>
      <w:r w:rsidR="00E04811">
        <w:rPr>
          <w:sz w:val="16"/>
          <w:szCs w:val="16"/>
          <w:lang w:val="es-CO"/>
        </w:rPr>
        <w:t xml:space="preserve">3. </w:t>
      </w:r>
      <w:r w:rsidR="00472468" w:rsidRPr="00E04811">
        <w:rPr>
          <w:sz w:val="16"/>
          <w:szCs w:val="16"/>
          <w:lang w:val="es-CO"/>
        </w:rPr>
        <w:t>Las tasas de interés que las entidades decidan ofrecer a los consumidores por la captación de recursos mediante depósitos electrónico</w:t>
      </w:r>
      <w:r w:rsidR="00010999" w:rsidRPr="00E04811">
        <w:rPr>
          <w:sz w:val="16"/>
          <w:szCs w:val="16"/>
          <w:lang w:val="es-CO"/>
        </w:rPr>
        <w:t>s</w:t>
      </w:r>
      <w:r w:rsidR="00472468" w:rsidRPr="00E04811">
        <w:rPr>
          <w:sz w:val="16"/>
          <w:szCs w:val="16"/>
          <w:lang w:val="es-CO"/>
        </w:rPr>
        <w:t>, si a ello hubiere lugar.</w:t>
      </w:r>
      <w:r w:rsidR="0022662A" w:rsidRPr="00E04811">
        <w:rPr>
          <w:sz w:val="16"/>
          <w:szCs w:val="16"/>
          <w:lang w:val="es-CO"/>
        </w:rPr>
        <w:t xml:space="preserve"> </w:t>
      </w:r>
    </w:p>
    <w:p w14:paraId="4E9A1210" w14:textId="77777777" w:rsidR="0022662A" w:rsidRPr="00925FBD" w:rsidRDefault="0022662A" w:rsidP="00E04811">
      <w:pPr>
        <w:pStyle w:val="Prrafodelista"/>
        <w:ind w:left="153" w:firstLine="0"/>
        <w:rPr>
          <w:sz w:val="16"/>
          <w:szCs w:val="16"/>
        </w:rPr>
      </w:pPr>
    </w:p>
    <w:p w14:paraId="07B3DB57" w14:textId="77777777" w:rsidR="00A61FDA" w:rsidRPr="00E04811" w:rsidRDefault="00860BA8" w:rsidP="00E04811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</w:rPr>
        <w:t>6</w:t>
      </w:r>
      <w:r w:rsidR="00FA29F5">
        <w:rPr>
          <w:sz w:val="16"/>
          <w:szCs w:val="16"/>
        </w:rPr>
        <w:t>.1.</w:t>
      </w:r>
      <w:r w:rsidR="00E04811">
        <w:rPr>
          <w:sz w:val="16"/>
          <w:szCs w:val="16"/>
        </w:rPr>
        <w:t xml:space="preserve">4. </w:t>
      </w:r>
      <w:r w:rsidR="000C2096" w:rsidRPr="00E04811">
        <w:rPr>
          <w:sz w:val="16"/>
          <w:szCs w:val="16"/>
        </w:rPr>
        <w:t>En relación con</w:t>
      </w:r>
      <w:r w:rsidR="00A61FDA" w:rsidRPr="00E04811">
        <w:rPr>
          <w:sz w:val="16"/>
          <w:szCs w:val="16"/>
        </w:rPr>
        <w:t xml:space="preserve"> </w:t>
      </w:r>
      <w:r w:rsidR="000C2096" w:rsidRPr="00E04811">
        <w:rPr>
          <w:sz w:val="16"/>
          <w:szCs w:val="16"/>
        </w:rPr>
        <w:t xml:space="preserve">los </w:t>
      </w:r>
      <w:r w:rsidR="00FA29F5">
        <w:rPr>
          <w:sz w:val="16"/>
          <w:szCs w:val="16"/>
        </w:rPr>
        <w:t>depósitos de dinero electrónico</w:t>
      </w:r>
      <w:r w:rsidR="00A61FDA" w:rsidRPr="00E04811">
        <w:rPr>
          <w:sz w:val="16"/>
          <w:szCs w:val="16"/>
        </w:rPr>
        <w:t xml:space="preserve"> previstos en el </w:t>
      </w:r>
      <w:r w:rsidR="00F04484">
        <w:rPr>
          <w:sz w:val="16"/>
          <w:szCs w:val="16"/>
        </w:rPr>
        <w:t>art.</w:t>
      </w:r>
      <w:r w:rsidR="000C2096" w:rsidRPr="00E04811">
        <w:rPr>
          <w:sz w:val="16"/>
          <w:szCs w:val="16"/>
        </w:rPr>
        <w:t xml:space="preserve"> 2.1.15.1.2.</w:t>
      </w:r>
      <w:r w:rsidR="00FA29F5">
        <w:rPr>
          <w:sz w:val="16"/>
          <w:szCs w:val="16"/>
        </w:rPr>
        <w:t xml:space="preserve"> del Decreto 2555 de 2010</w:t>
      </w:r>
      <w:r w:rsidR="00A61FDA" w:rsidRPr="00E04811">
        <w:rPr>
          <w:sz w:val="16"/>
          <w:szCs w:val="16"/>
        </w:rPr>
        <w:t xml:space="preserve">, </w:t>
      </w:r>
      <w:r w:rsidR="00FA29F5">
        <w:rPr>
          <w:sz w:val="16"/>
          <w:szCs w:val="16"/>
        </w:rPr>
        <w:t>deben</w:t>
      </w:r>
      <w:r w:rsidR="00A61FDA" w:rsidRPr="00E04811">
        <w:rPr>
          <w:sz w:val="16"/>
          <w:szCs w:val="16"/>
        </w:rPr>
        <w:t xml:space="preserve"> informar </w:t>
      </w:r>
      <w:r w:rsidR="000C2096" w:rsidRPr="00E04811">
        <w:rPr>
          <w:sz w:val="16"/>
          <w:szCs w:val="16"/>
        </w:rPr>
        <w:t xml:space="preserve">al consumidor </w:t>
      </w:r>
      <w:r w:rsidR="00A47C9B" w:rsidRPr="00E04811">
        <w:rPr>
          <w:sz w:val="16"/>
          <w:szCs w:val="16"/>
        </w:rPr>
        <w:t xml:space="preserve">financiero </w:t>
      </w:r>
      <w:r w:rsidR="00010999" w:rsidRPr="00E04811">
        <w:rPr>
          <w:sz w:val="16"/>
          <w:szCs w:val="16"/>
        </w:rPr>
        <w:t>la posibilid</w:t>
      </w:r>
      <w:r w:rsidR="00385446" w:rsidRPr="00E04811">
        <w:rPr>
          <w:sz w:val="16"/>
          <w:szCs w:val="16"/>
        </w:rPr>
        <w:t>ad de hacer retiros en efectivo</w:t>
      </w:r>
      <w:r w:rsidR="00EB24B9" w:rsidRPr="00E04811">
        <w:rPr>
          <w:sz w:val="16"/>
          <w:szCs w:val="16"/>
        </w:rPr>
        <w:t xml:space="preserve">. </w:t>
      </w:r>
      <w:r w:rsidR="00EB24B9" w:rsidRPr="00E04811">
        <w:rPr>
          <w:sz w:val="16"/>
          <w:szCs w:val="16"/>
          <w:lang w:val="es-CO"/>
        </w:rPr>
        <w:t>A</w:t>
      </w:r>
      <w:r w:rsidR="00FA29F5">
        <w:rPr>
          <w:sz w:val="16"/>
          <w:szCs w:val="16"/>
          <w:lang w:val="es-CO"/>
        </w:rPr>
        <w:t>sí mismo, para el caso de los depósitos e</w:t>
      </w:r>
      <w:r w:rsidR="00EB24B9" w:rsidRPr="00E04811">
        <w:rPr>
          <w:sz w:val="16"/>
          <w:szCs w:val="16"/>
          <w:lang w:val="es-CO"/>
        </w:rPr>
        <w:t>lectrónic</w:t>
      </w:r>
      <w:r w:rsidR="00FA29F5">
        <w:rPr>
          <w:sz w:val="16"/>
          <w:szCs w:val="16"/>
          <w:lang w:val="es-CO"/>
        </w:rPr>
        <w:t>os transaccionales,</w:t>
      </w:r>
      <w:r w:rsidR="00EB24B9" w:rsidRPr="00E04811">
        <w:rPr>
          <w:sz w:val="16"/>
          <w:szCs w:val="16"/>
        </w:rPr>
        <w:t xml:space="preserve"> </w:t>
      </w:r>
      <w:r w:rsidR="00EB24B9" w:rsidRPr="00E04811">
        <w:rPr>
          <w:sz w:val="16"/>
          <w:szCs w:val="16"/>
          <w:lang w:val="es-CO"/>
        </w:rPr>
        <w:t>en los cuales se restringe la posibilidad de hacer retiros en efectivo, el cliente deberá ser informado oportunamente sobre la mencionada restricción.</w:t>
      </w:r>
    </w:p>
    <w:p w14:paraId="19F23ED2" w14:textId="77777777" w:rsidR="00010999" w:rsidRPr="00925FBD" w:rsidRDefault="00010999" w:rsidP="00083655">
      <w:pPr>
        <w:ind w:left="0" w:firstLine="0"/>
        <w:rPr>
          <w:sz w:val="16"/>
          <w:szCs w:val="16"/>
          <w:lang w:val="es-CO"/>
        </w:rPr>
      </w:pPr>
    </w:p>
    <w:p w14:paraId="7D60CA30" w14:textId="77777777" w:rsidR="00A807BC" w:rsidRPr="00FA29F5" w:rsidRDefault="00860BA8" w:rsidP="005E5766">
      <w:pPr>
        <w:pStyle w:val="Ttulo2"/>
        <w:rPr>
          <w:bCs w:val="0"/>
          <w:sz w:val="16"/>
          <w:szCs w:val="16"/>
          <w:lang w:val="es-CO"/>
        </w:rPr>
      </w:pPr>
      <w:bookmarkStart w:id="0" w:name="_Toc267336157"/>
      <w:r w:rsidRPr="00FA29F5">
        <w:rPr>
          <w:bCs w:val="0"/>
          <w:sz w:val="16"/>
          <w:szCs w:val="16"/>
          <w:lang w:val="es-CO"/>
        </w:rPr>
        <w:t>6</w:t>
      </w:r>
      <w:r w:rsidR="005E5766" w:rsidRPr="00FA29F5">
        <w:rPr>
          <w:bCs w:val="0"/>
          <w:sz w:val="16"/>
          <w:szCs w:val="16"/>
          <w:lang w:val="es-CO"/>
        </w:rPr>
        <w:t>.</w:t>
      </w:r>
      <w:r w:rsidR="00FA29F5" w:rsidRPr="00FA29F5">
        <w:rPr>
          <w:bCs w:val="0"/>
          <w:sz w:val="16"/>
          <w:szCs w:val="16"/>
          <w:lang w:val="es-CO"/>
        </w:rPr>
        <w:t>2</w:t>
      </w:r>
      <w:r w:rsidR="005E5766" w:rsidRPr="00FA29F5">
        <w:rPr>
          <w:bCs w:val="0"/>
          <w:sz w:val="16"/>
          <w:szCs w:val="16"/>
          <w:lang w:val="es-CO"/>
        </w:rPr>
        <w:t xml:space="preserve">. </w:t>
      </w:r>
      <w:r w:rsidR="00A807BC" w:rsidRPr="00FA29F5">
        <w:rPr>
          <w:bCs w:val="0"/>
          <w:sz w:val="16"/>
          <w:szCs w:val="16"/>
          <w:lang w:val="es-CO"/>
        </w:rPr>
        <w:t>Extractos</w:t>
      </w:r>
      <w:r w:rsidR="000258EC" w:rsidRPr="00FA29F5">
        <w:rPr>
          <w:bCs w:val="0"/>
          <w:sz w:val="16"/>
          <w:szCs w:val="16"/>
          <w:lang w:val="es-CO"/>
        </w:rPr>
        <w:t xml:space="preserve"> y reportes</w:t>
      </w:r>
    </w:p>
    <w:p w14:paraId="053993B8" w14:textId="77777777" w:rsidR="00A807BC" w:rsidRPr="00925FBD" w:rsidRDefault="00A807BC" w:rsidP="00A807BC">
      <w:pPr>
        <w:ind w:left="0" w:firstLine="0"/>
        <w:rPr>
          <w:sz w:val="16"/>
          <w:szCs w:val="16"/>
          <w:highlight w:val="cyan"/>
          <w:lang w:val="es-CO"/>
        </w:rPr>
      </w:pPr>
    </w:p>
    <w:p w14:paraId="0CE4AC20" w14:textId="77777777" w:rsidR="00A807BC" w:rsidRPr="00925FBD" w:rsidRDefault="00FA29F5" w:rsidP="00A807BC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Respecto de los d</w:t>
      </w:r>
      <w:r w:rsidR="00A807BC" w:rsidRPr="00925FBD">
        <w:rPr>
          <w:sz w:val="16"/>
          <w:szCs w:val="16"/>
          <w:lang w:val="es-CO"/>
        </w:rPr>
        <w:t xml:space="preserve">epósitos </w:t>
      </w:r>
      <w:r>
        <w:rPr>
          <w:sz w:val="16"/>
          <w:szCs w:val="16"/>
          <w:lang w:val="es-CO"/>
        </w:rPr>
        <w:t>e</w:t>
      </w:r>
      <w:r w:rsidR="00A807BC" w:rsidRPr="00925FBD">
        <w:rPr>
          <w:sz w:val="16"/>
          <w:szCs w:val="16"/>
          <w:lang w:val="es-CO"/>
        </w:rPr>
        <w:t>lectrónicos, deben poner a disposición de los clientes los extractos o estados de cuenta, a través de los mecanismos que establezcan para el efecto.</w:t>
      </w:r>
    </w:p>
    <w:p w14:paraId="3BABF688" w14:textId="77777777" w:rsidR="00A807BC" w:rsidRPr="00925FBD" w:rsidRDefault="00A807BC" w:rsidP="00A807BC">
      <w:pPr>
        <w:ind w:left="0"/>
        <w:rPr>
          <w:sz w:val="16"/>
          <w:szCs w:val="16"/>
          <w:lang w:val="es-CO"/>
        </w:rPr>
      </w:pPr>
    </w:p>
    <w:p w14:paraId="4F1D8E01" w14:textId="77777777" w:rsidR="00A807BC" w:rsidRDefault="00A807BC" w:rsidP="00A807BC">
      <w:pPr>
        <w:ind w:left="0" w:firstLine="0"/>
        <w:rPr>
          <w:sz w:val="16"/>
          <w:szCs w:val="16"/>
          <w:lang w:val="es-CO"/>
        </w:rPr>
      </w:pPr>
      <w:r w:rsidRPr="00925FBD">
        <w:rPr>
          <w:sz w:val="16"/>
          <w:szCs w:val="16"/>
          <w:lang w:val="es-CO"/>
        </w:rPr>
        <w:t xml:space="preserve">En todo caso, las </w:t>
      </w:r>
      <w:r w:rsidR="005B7443">
        <w:rPr>
          <w:sz w:val="16"/>
          <w:szCs w:val="16"/>
          <w:lang w:val="es-CO"/>
        </w:rPr>
        <w:t>SEDPE</w:t>
      </w:r>
      <w:r w:rsidRPr="00925FBD">
        <w:rPr>
          <w:sz w:val="16"/>
          <w:szCs w:val="16"/>
          <w:lang w:val="es-CO"/>
        </w:rPr>
        <w:t xml:space="preserve"> deben informar oportuna y claramente a los consumidores financieros dónde, cómo y cuándo pueden acceder a esta información. Igualmente, tales mecanismos deben permitir que el cliente consulte la información correspondiente a la tasa de interés efectiva reconocida sobre el saldo durante el período cubierto, </w:t>
      </w:r>
      <w:r w:rsidR="00887B4E">
        <w:rPr>
          <w:sz w:val="16"/>
          <w:szCs w:val="16"/>
          <w:lang w:val="es-CO"/>
        </w:rPr>
        <w:t xml:space="preserve">así como </w:t>
      </w:r>
      <w:r w:rsidR="00887B4E" w:rsidRPr="00925FBD">
        <w:rPr>
          <w:sz w:val="16"/>
          <w:szCs w:val="16"/>
          <w:lang w:val="es-CO"/>
        </w:rPr>
        <w:t xml:space="preserve">la periodicidad y forma de liquidar los rendimientos </w:t>
      </w:r>
      <w:r w:rsidRPr="00925FBD">
        <w:rPr>
          <w:sz w:val="16"/>
          <w:szCs w:val="16"/>
          <w:lang w:val="es-CO"/>
        </w:rPr>
        <w:t>cuando a ello hubiere lugar, los mo</w:t>
      </w:r>
      <w:r w:rsidR="005B7443">
        <w:rPr>
          <w:sz w:val="16"/>
          <w:szCs w:val="16"/>
          <w:lang w:val="es-CO"/>
        </w:rPr>
        <w:t>vimientos del depósito</w:t>
      </w:r>
      <w:r w:rsidR="00887B4E">
        <w:rPr>
          <w:sz w:val="16"/>
          <w:szCs w:val="16"/>
          <w:lang w:val="es-CO"/>
        </w:rPr>
        <w:t xml:space="preserve"> y</w:t>
      </w:r>
      <w:r w:rsidRPr="00925FBD">
        <w:rPr>
          <w:sz w:val="16"/>
          <w:szCs w:val="16"/>
          <w:lang w:val="es-CO"/>
        </w:rPr>
        <w:t xml:space="preserve"> los cambios que se presenten respecto de esta información.</w:t>
      </w:r>
    </w:p>
    <w:p w14:paraId="3BDDAAF5" w14:textId="77777777" w:rsidR="000225D1" w:rsidRDefault="000225D1" w:rsidP="00A807BC">
      <w:pPr>
        <w:ind w:left="0" w:firstLine="0"/>
        <w:rPr>
          <w:sz w:val="16"/>
          <w:szCs w:val="16"/>
          <w:lang w:val="es-CO"/>
        </w:rPr>
      </w:pPr>
    </w:p>
    <w:p w14:paraId="41F456BD" w14:textId="77777777" w:rsidR="00A807BC" w:rsidRPr="00FA29F5" w:rsidRDefault="00860BA8" w:rsidP="009137EE">
      <w:pPr>
        <w:ind w:left="0" w:firstLine="0"/>
        <w:rPr>
          <w:b/>
          <w:sz w:val="16"/>
          <w:szCs w:val="16"/>
        </w:rPr>
      </w:pPr>
      <w:r w:rsidRPr="00FA29F5">
        <w:rPr>
          <w:b/>
          <w:sz w:val="16"/>
          <w:szCs w:val="16"/>
        </w:rPr>
        <w:t>6</w:t>
      </w:r>
      <w:r w:rsidR="00FA29F5" w:rsidRPr="00FA29F5">
        <w:rPr>
          <w:b/>
          <w:sz w:val="16"/>
          <w:szCs w:val="16"/>
        </w:rPr>
        <w:t>.3</w:t>
      </w:r>
      <w:r w:rsidR="009137EE" w:rsidRPr="00FA29F5">
        <w:rPr>
          <w:b/>
          <w:sz w:val="16"/>
          <w:szCs w:val="16"/>
        </w:rPr>
        <w:t xml:space="preserve">. </w:t>
      </w:r>
      <w:r w:rsidR="00FD6E1F">
        <w:rPr>
          <w:b/>
          <w:sz w:val="16"/>
          <w:szCs w:val="16"/>
        </w:rPr>
        <w:t>Cláusulas y prácticas a</w:t>
      </w:r>
      <w:r w:rsidR="00A807BC" w:rsidRPr="00FA29F5">
        <w:rPr>
          <w:b/>
          <w:sz w:val="16"/>
          <w:szCs w:val="16"/>
        </w:rPr>
        <w:t>busivas</w:t>
      </w:r>
    </w:p>
    <w:p w14:paraId="55B0736A" w14:textId="77777777" w:rsidR="00A807BC" w:rsidRPr="00925FBD" w:rsidRDefault="00A807BC" w:rsidP="00A807BC">
      <w:pPr>
        <w:ind w:left="0" w:firstLine="0"/>
        <w:rPr>
          <w:sz w:val="16"/>
          <w:szCs w:val="16"/>
        </w:rPr>
      </w:pPr>
    </w:p>
    <w:p w14:paraId="6D4892C8" w14:textId="77777777" w:rsidR="00A807BC" w:rsidRPr="00925FBD" w:rsidRDefault="00A807BC" w:rsidP="00A807BC">
      <w:pPr>
        <w:ind w:left="0" w:firstLine="0"/>
        <w:rPr>
          <w:sz w:val="16"/>
          <w:szCs w:val="16"/>
        </w:rPr>
      </w:pPr>
      <w:r w:rsidRPr="00925FBD">
        <w:rPr>
          <w:sz w:val="16"/>
          <w:szCs w:val="16"/>
        </w:rPr>
        <w:t xml:space="preserve">Las SEDPE deben abstenerse de incurrir en conductas que conlleven abusos contractuales o de convenir cláusulas que puedan afectar el equilibrio del contrato o que den lugar a un abuso de posición dominante contractual. Para esto, las SEDPE deben observar lo establecido en </w:t>
      </w:r>
      <w:r w:rsidR="007C50C1">
        <w:rPr>
          <w:sz w:val="16"/>
          <w:szCs w:val="16"/>
        </w:rPr>
        <w:t>los arts</w:t>
      </w:r>
      <w:r w:rsidR="00F04484">
        <w:rPr>
          <w:sz w:val="16"/>
          <w:szCs w:val="16"/>
        </w:rPr>
        <w:t>.</w:t>
      </w:r>
      <w:r w:rsidR="007C50C1">
        <w:rPr>
          <w:sz w:val="16"/>
          <w:szCs w:val="16"/>
        </w:rPr>
        <w:t xml:space="preserve"> 11 y 12 de la Ley 1328 de 2009 y en </w:t>
      </w:r>
      <w:r w:rsidRPr="00925FBD">
        <w:rPr>
          <w:sz w:val="16"/>
          <w:szCs w:val="16"/>
        </w:rPr>
        <w:t xml:space="preserve">el numeral 6 </w:t>
      </w:r>
      <w:r w:rsidRPr="00925FBD">
        <w:rPr>
          <w:sz w:val="16"/>
          <w:szCs w:val="16"/>
          <w:lang w:val="es-CO"/>
        </w:rPr>
        <w:t xml:space="preserve">del Capítulo I del Título III de la Parte I de la </w:t>
      </w:r>
      <w:r w:rsidR="00ED4EDE">
        <w:rPr>
          <w:sz w:val="16"/>
          <w:szCs w:val="16"/>
          <w:lang w:val="es-CO"/>
        </w:rPr>
        <w:t>CBJ</w:t>
      </w:r>
      <w:r w:rsidRPr="00925FBD">
        <w:rPr>
          <w:sz w:val="16"/>
          <w:szCs w:val="16"/>
          <w:lang w:val="es-CO"/>
        </w:rPr>
        <w:t>.</w:t>
      </w:r>
    </w:p>
    <w:p w14:paraId="1433E45E" w14:textId="77777777" w:rsidR="00A807BC" w:rsidRPr="00A807BC" w:rsidRDefault="00A807BC" w:rsidP="00A807BC">
      <w:pPr>
        <w:ind w:left="0" w:firstLine="0"/>
        <w:rPr>
          <w:sz w:val="16"/>
          <w:szCs w:val="16"/>
        </w:rPr>
      </w:pPr>
    </w:p>
    <w:p w14:paraId="25CC983B" w14:textId="77777777" w:rsidR="00A807BC" w:rsidRPr="00FA29F5" w:rsidRDefault="00FA29F5" w:rsidP="00FA29F5">
      <w:pPr>
        <w:ind w:left="0" w:firstLine="0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6.4. </w:t>
      </w:r>
      <w:r w:rsidR="00FD6E1F">
        <w:rPr>
          <w:b/>
          <w:sz w:val="16"/>
          <w:szCs w:val="16"/>
        </w:rPr>
        <w:t>Protección del consumidor f</w:t>
      </w:r>
      <w:r w:rsidR="00A807BC" w:rsidRPr="00FA29F5">
        <w:rPr>
          <w:b/>
          <w:sz w:val="16"/>
          <w:szCs w:val="16"/>
        </w:rPr>
        <w:t>inanciero</w:t>
      </w:r>
    </w:p>
    <w:p w14:paraId="34F8DE1C" w14:textId="77777777" w:rsidR="00A807BC" w:rsidRDefault="00A807BC" w:rsidP="00A807BC">
      <w:pPr>
        <w:ind w:left="0" w:firstLine="0"/>
        <w:rPr>
          <w:b/>
          <w:sz w:val="16"/>
          <w:szCs w:val="16"/>
        </w:rPr>
      </w:pPr>
    </w:p>
    <w:p w14:paraId="4A6DA75F" w14:textId="77777777" w:rsidR="00193586" w:rsidRPr="00FA29F5" w:rsidRDefault="00FA29F5" w:rsidP="00FA29F5">
      <w:pPr>
        <w:ind w:left="0" w:firstLine="0"/>
        <w:rPr>
          <w:sz w:val="16"/>
          <w:szCs w:val="16"/>
        </w:rPr>
      </w:pPr>
      <w:r>
        <w:rPr>
          <w:sz w:val="16"/>
          <w:szCs w:val="16"/>
        </w:rPr>
        <w:t xml:space="preserve">6.4.1. </w:t>
      </w:r>
      <w:r w:rsidR="00193586" w:rsidRPr="00FA29F5">
        <w:rPr>
          <w:sz w:val="16"/>
          <w:szCs w:val="16"/>
        </w:rPr>
        <w:t>Sistema de Atención al Consumidor Financiero (SAC)</w:t>
      </w:r>
    </w:p>
    <w:p w14:paraId="6BBAC120" w14:textId="77777777" w:rsidR="00B95D32" w:rsidRPr="00925FBD" w:rsidRDefault="00B95D32" w:rsidP="001B1049">
      <w:pPr>
        <w:ind w:left="0" w:firstLine="0"/>
        <w:rPr>
          <w:sz w:val="16"/>
          <w:szCs w:val="16"/>
          <w:highlight w:val="cyan"/>
        </w:rPr>
      </w:pPr>
    </w:p>
    <w:p w14:paraId="768FCBC1" w14:textId="77777777" w:rsidR="001B1049" w:rsidRDefault="00385446" w:rsidP="001B1049">
      <w:pPr>
        <w:ind w:left="0" w:firstLine="0"/>
        <w:rPr>
          <w:sz w:val="16"/>
          <w:szCs w:val="16"/>
        </w:rPr>
      </w:pPr>
      <w:r w:rsidRPr="00925FBD">
        <w:rPr>
          <w:sz w:val="16"/>
          <w:szCs w:val="16"/>
        </w:rPr>
        <w:t>Las</w:t>
      </w:r>
      <w:r w:rsidR="001B1049" w:rsidRPr="00925FBD">
        <w:rPr>
          <w:sz w:val="16"/>
          <w:szCs w:val="16"/>
        </w:rPr>
        <w:t xml:space="preserve"> SEDPE deben implementar un </w:t>
      </w:r>
      <w:r w:rsidR="00801F6E">
        <w:rPr>
          <w:sz w:val="16"/>
          <w:szCs w:val="16"/>
        </w:rPr>
        <w:t>SAC</w:t>
      </w:r>
      <w:r w:rsidR="001B1049" w:rsidRPr="00925FBD">
        <w:rPr>
          <w:sz w:val="16"/>
          <w:szCs w:val="16"/>
        </w:rPr>
        <w:t>, en los términos previstos en la Ley 1328 de 2009</w:t>
      </w:r>
      <w:r w:rsidR="00193586" w:rsidRPr="00925FBD">
        <w:rPr>
          <w:sz w:val="16"/>
          <w:szCs w:val="16"/>
        </w:rPr>
        <w:t>, para lo cual deber</w:t>
      </w:r>
      <w:r w:rsidR="00EB24B9" w:rsidRPr="00925FBD">
        <w:rPr>
          <w:sz w:val="16"/>
          <w:szCs w:val="16"/>
        </w:rPr>
        <w:t>án</w:t>
      </w:r>
      <w:r w:rsidR="00193586" w:rsidRPr="00925FBD">
        <w:rPr>
          <w:sz w:val="16"/>
          <w:szCs w:val="16"/>
        </w:rPr>
        <w:t xml:space="preserve"> </w:t>
      </w:r>
      <w:r w:rsidR="00EB24B9" w:rsidRPr="00925FBD">
        <w:rPr>
          <w:sz w:val="16"/>
          <w:szCs w:val="16"/>
        </w:rPr>
        <w:t>aplicar</w:t>
      </w:r>
      <w:r w:rsidR="00193586" w:rsidRPr="00925FBD">
        <w:rPr>
          <w:sz w:val="16"/>
          <w:szCs w:val="16"/>
        </w:rPr>
        <w:t xml:space="preserve"> las instrucciones contenidas en el Capítulo II del Título III de la Parte I de la </w:t>
      </w:r>
      <w:r w:rsidR="00A807BC">
        <w:rPr>
          <w:sz w:val="16"/>
          <w:szCs w:val="16"/>
        </w:rPr>
        <w:t>CBJ</w:t>
      </w:r>
      <w:r w:rsidR="001B1049" w:rsidRPr="00925FBD">
        <w:rPr>
          <w:sz w:val="16"/>
          <w:szCs w:val="16"/>
        </w:rPr>
        <w:t>.</w:t>
      </w:r>
    </w:p>
    <w:p w14:paraId="058890F2" w14:textId="77777777" w:rsidR="00193586" w:rsidRDefault="00193586" w:rsidP="001B1049">
      <w:pPr>
        <w:ind w:left="0" w:firstLine="0"/>
        <w:rPr>
          <w:sz w:val="16"/>
          <w:szCs w:val="16"/>
        </w:rPr>
      </w:pPr>
    </w:p>
    <w:p w14:paraId="632D41B2" w14:textId="77777777" w:rsidR="00AE45C3" w:rsidRDefault="00AE45C3" w:rsidP="00AE45C3">
      <w:pPr>
        <w:ind w:left="0" w:firstLine="0"/>
        <w:rPr>
          <w:sz w:val="16"/>
          <w:szCs w:val="16"/>
        </w:rPr>
      </w:pPr>
      <w:r>
        <w:rPr>
          <w:sz w:val="16"/>
          <w:szCs w:val="16"/>
        </w:rPr>
        <w:t>6.4.2. Defensor del Consumidor Financiero</w:t>
      </w:r>
    </w:p>
    <w:p w14:paraId="5A3E22D4" w14:textId="77777777" w:rsidR="00AE45C3" w:rsidRPr="00FA29F5" w:rsidRDefault="00AE45C3" w:rsidP="00AE45C3">
      <w:pPr>
        <w:ind w:left="0" w:firstLine="0"/>
        <w:rPr>
          <w:sz w:val="16"/>
          <w:szCs w:val="16"/>
        </w:rPr>
      </w:pPr>
    </w:p>
    <w:p w14:paraId="1CCAFEB4" w14:textId="77777777" w:rsidR="00783445" w:rsidRDefault="009147A6" w:rsidP="00783445">
      <w:pPr>
        <w:ind w:left="0" w:firstLine="0"/>
        <w:rPr>
          <w:sz w:val="16"/>
          <w:szCs w:val="16"/>
        </w:rPr>
      </w:pPr>
      <w:r>
        <w:rPr>
          <w:sz w:val="16"/>
          <w:szCs w:val="16"/>
        </w:rPr>
        <w:t>Las SEDPE que designen</w:t>
      </w:r>
      <w:r w:rsidR="00783445" w:rsidRPr="00925FBD">
        <w:rPr>
          <w:sz w:val="16"/>
          <w:szCs w:val="16"/>
        </w:rPr>
        <w:t xml:space="preserve"> un </w:t>
      </w:r>
      <w:r w:rsidR="007E0AC9" w:rsidRPr="00925FBD">
        <w:rPr>
          <w:sz w:val="16"/>
          <w:szCs w:val="16"/>
        </w:rPr>
        <w:t>defensor del consumidor financiero</w:t>
      </w:r>
      <w:r w:rsidR="00783445" w:rsidRPr="00925FBD">
        <w:rPr>
          <w:sz w:val="16"/>
          <w:szCs w:val="16"/>
        </w:rPr>
        <w:t xml:space="preserve">, deben atender las reglas establecidas </w:t>
      </w:r>
      <w:r w:rsidR="007E0AC9">
        <w:rPr>
          <w:sz w:val="16"/>
          <w:szCs w:val="16"/>
        </w:rPr>
        <w:t xml:space="preserve">para el efecto </w:t>
      </w:r>
      <w:r w:rsidR="00783445" w:rsidRPr="00925FBD">
        <w:rPr>
          <w:sz w:val="16"/>
          <w:szCs w:val="16"/>
        </w:rPr>
        <w:t xml:space="preserve">en el Capítulo II del Título III de la Parte I de la </w:t>
      </w:r>
      <w:r w:rsidR="00783445">
        <w:rPr>
          <w:sz w:val="16"/>
          <w:szCs w:val="16"/>
        </w:rPr>
        <w:t>CBJ</w:t>
      </w:r>
      <w:r w:rsidR="00783445" w:rsidRPr="00925FBD">
        <w:rPr>
          <w:sz w:val="16"/>
          <w:szCs w:val="16"/>
        </w:rPr>
        <w:t>.</w:t>
      </w:r>
    </w:p>
    <w:p w14:paraId="3299F125" w14:textId="77777777" w:rsidR="00783445" w:rsidRPr="00925FBD" w:rsidRDefault="00783445" w:rsidP="001B1049">
      <w:pPr>
        <w:ind w:left="0" w:firstLine="0"/>
        <w:rPr>
          <w:sz w:val="16"/>
          <w:szCs w:val="16"/>
        </w:rPr>
      </w:pPr>
    </w:p>
    <w:p w14:paraId="56C4E34B" w14:textId="77777777" w:rsidR="00FA29F5" w:rsidRDefault="00FA29F5" w:rsidP="001B1049">
      <w:pPr>
        <w:ind w:left="0" w:firstLine="0"/>
        <w:rPr>
          <w:sz w:val="16"/>
          <w:szCs w:val="16"/>
        </w:rPr>
      </w:pPr>
    </w:p>
    <w:bookmarkEnd w:id="0"/>
    <w:p w14:paraId="5A509FB1" w14:textId="77777777" w:rsidR="008831B7" w:rsidRPr="00FA29F5" w:rsidRDefault="00FA29F5" w:rsidP="00FA29F5">
      <w:pPr>
        <w:ind w:left="0" w:firstLine="0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7. </w:t>
      </w:r>
      <w:r w:rsidR="00DE3212" w:rsidRPr="00FA29F5">
        <w:rPr>
          <w:b/>
          <w:sz w:val="16"/>
          <w:szCs w:val="16"/>
        </w:rPr>
        <w:t>CANALES</w:t>
      </w:r>
      <w:r w:rsidR="001107F8" w:rsidRPr="00FA29F5">
        <w:rPr>
          <w:b/>
          <w:sz w:val="16"/>
          <w:szCs w:val="16"/>
        </w:rPr>
        <w:t xml:space="preserve"> DE SERVICIOS, SEGURIDAD Y CALIDAD EN LAS OPERACIONES</w:t>
      </w:r>
    </w:p>
    <w:p w14:paraId="620B3545" w14:textId="77777777" w:rsidR="00DE3212" w:rsidRPr="00925FBD" w:rsidRDefault="00DE3212" w:rsidP="00DE3212">
      <w:pPr>
        <w:rPr>
          <w:sz w:val="16"/>
          <w:szCs w:val="16"/>
        </w:rPr>
      </w:pPr>
    </w:p>
    <w:p w14:paraId="63078E74" w14:textId="77777777" w:rsidR="00FA29F5" w:rsidRDefault="00DB1889" w:rsidP="00DE3212">
      <w:pPr>
        <w:ind w:left="0" w:firstLine="0"/>
        <w:rPr>
          <w:sz w:val="16"/>
          <w:szCs w:val="16"/>
          <w:lang w:val="es-CO"/>
        </w:rPr>
      </w:pPr>
      <w:r w:rsidRPr="00813007">
        <w:rPr>
          <w:sz w:val="16"/>
          <w:szCs w:val="16"/>
          <w:lang w:val="es-CO"/>
        </w:rPr>
        <w:t>Las SEDPE</w:t>
      </w:r>
      <w:r w:rsidR="003F5C04">
        <w:rPr>
          <w:sz w:val="16"/>
          <w:szCs w:val="16"/>
          <w:lang w:val="es-CO"/>
        </w:rPr>
        <w:t xml:space="preserve"> </w:t>
      </w:r>
      <w:r w:rsidRPr="00813007">
        <w:rPr>
          <w:sz w:val="16"/>
          <w:szCs w:val="16"/>
          <w:lang w:val="es-CO"/>
        </w:rPr>
        <w:t xml:space="preserve">deben observar las disposiciones generales previstas en materia de canales de prestación de servicios y requerimientos mínimos de seguridad y calidad para la realización de operaciones previstas en el Capítulo I, Título II de la Parte I de la </w:t>
      </w:r>
      <w:r w:rsidR="007152E2" w:rsidRPr="00813007">
        <w:rPr>
          <w:sz w:val="16"/>
          <w:szCs w:val="16"/>
          <w:lang w:val="es-CO"/>
        </w:rPr>
        <w:t>CBJ</w:t>
      </w:r>
      <w:r w:rsidR="003B6190" w:rsidRPr="00813007">
        <w:rPr>
          <w:sz w:val="16"/>
          <w:szCs w:val="16"/>
          <w:lang w:val="es-CO"/>
        </w:rPr>
        <w:t xml:space="preserve">. </w:t>
      </w:r>
    </w:p>
    <w:p w14:paraId="33F0D1AE" w14:textId="644042DA" w:rsidR="00FA29F5" w:rsidRDefault="00FA29F5" w:rsidP="00C72F05">
      <w:pPr>
        <w:pBdr>
          <w:left w:val="single" w:sz="4" w:space="4" w:color="auto"/>
        </w:pBdr>
        <w:ind w:left="0" w:firstLine="0"/>
        <w:rPr>
          <w:sz w:val="16"/>
          <w:szCs w:val="16"/>
          <w:lang w:val="es-CO"/>
        </w:rPr>
      </w:pPr>
    </w:p>
    <w:p w14:paraId="10518961" w14:textId="230FFC19" w:rsidR="00C72F05" w:rsidRDefault="00C72F05" w:rsidP="00C72F05">
      <w:pPr>
        <w:pBdr>
          <w:left w:val="single" w:sz="4" w:space="4" w:color="auto"/>
        </w:pBdr>
        <w:ind w:left="0" w:firstLine="0"/>
        <w:rPr>
          <w:sz w:val="16"/>
          <w:szCs w:val="16"/>
          <w:lang w:val="es-CO"/>
        </w:rPr>
      </w:pPr>
    </w:p>
    <w:p w14:paraId="374704DA" w14:textId="28EB1FAA" w:rsidR="00C72F05" w:rsidRDefault="00C72F05" w:rsidP="00C72F05">
      <w:pPr>
        <w:pBdr>
          <w:left w:val="single" w:sz="4" w:space="4" w:color="auto"/>
        </w:pBdr>
        <w:ind w:left="0" w:firstLine="0"/>
        <w:rPr>
          <w:sz w:val="16"/>
          <w:szCs w:val="16"/>
          <w:lang w:val="es-CO"/>
        </w:rPr>
      </w:pPr>
    </w:p>
    <w:p w14:paraId="5F2A81D7" w14:textId="7CC40113" w:rsidR="008D5F35" w:rsidRDefault="008D5F35" w:rsidP="00C72F05">
      <w:pPr>
        <w:pBdr>
          <w:left w:val="single" w:sz="4" w:space="4" w:color="auto"/>
        </w:pBdr>
        <w:ind w:left="0" w:firstLine="0"/>
        <w:rPr>
          <w:sz w:val="16"/>
          <w:szCs w:val="16"/>
          <w:lang w:val="es-CO"/>
        </w:rPr>
      </w:pPr>
    </w:p>
    <w:p w14:paraId="066A2C4B" w14:textId="3231EC6C" w:rsidR="008D5F35" w:rsidRDefault="008D5F35" w:rsidP="00C72F05">
      <w:pPr>
        <w:pBdr>
          <w:left w:val="single" w:sz="4" w:space="4" w:color="auto"/>
        </w:pBdr>
        <w:ind w:left="0" w:firstLine="0"/>
        <w:rPr>
          <w:sz w:val="16"/>
          <w:szCs w:val="16"/>
          <w:lang w:val="es-CO"/>
        </w:rPr>
      </w:pPr>
    </w:p>
    <w:p w14:paraId="06BC9744" w14:textId="0C03B3B8" w:rsidR="008D5F35" w:rsidRDefault="008D5F35" w:rsidP="00C72F05">
      <w:pPr>
        <w:pBdr>
          <w:left w:val="single" w:sz="4" w:space="4" w:color="auto"/>
        </w:pBdr>
        <w:ind w:left="0" w:firstLine="0"/>
        <w:rPr>
          <w:sz w:val="16"/>
          <w:szCs w:val="16"/>
          <w:lang w:val="es-CO"/>
        </w:rPr>
      </w:pPr>
    </w:p>
    <w:p w14:paraId="05124D2C" w14:textId="620AECFA" w:rsidR="008D5F35" w:rsidRDefault="008D5F35" w:rsidP="00C72F05">
      <w:pPr>
        <w:pBdr>
          <w:left w:val="single" w:sz="4" w:space="4" w:color="auto"/>
        </w:pBdr>
        <w:ind w:left="0" w:firstLine="0"/>
        <w:rPr>
          <w:sz w:val="16"/>
          <w:szCs w:val="16"/>
          <w:lang w:val="es-CO"/>
        </w:rPr>
      </w:pPr>
    </w:p>
    <w:p w14:paraId="58321B92" w14:textId="15588755" w:rsidR="00911D3F" w:rsidRDefault="00911D3F" w:rsidP="00C72F05">
      <w:pPr>
        <w:pBdr>
          <w:left w:val="single" w:sz="4" w:space="4" w:color="auto"/>
        </w:pBdr>
        <w:ind w:left="0" w:firstLine="0"/>
        <w:rPr>
          <w:sz w:val="16"/>
          <w:szCs w:val="16"/>
          <w:lang w:val="es-CO"/>
        </w:rPr>
      </w:pPr>
    </w:p>
    <w:p w14:paraId="004C92D0" w14:textId="14A8DB41" w:rsidR="00911D3F" w:rsidRDefault="00911D3F" w:rsidP="00C72F05">
      <w:pPr>
        <w:pBdr>
          <w:left w:val="single" w:sz="4" w:space="4" w:color="auto"/>
        </w:pBdr>
        <w:ind w:left="0" w:firstLine="0"/>
        <w:rPr>
          <w:sz w:val="16"/>
          <w:szCs w:val="16"/>
          <w:lang w:val="es-CO"/>
        </w:rPr>
      </w:pPr>
    </w:p>
    <w:p w14:paraId="2CF00E1B" w14:textId="1059DA37" w:rsidR="00911D3F" w:rsidRDefault="00911D3F" w:rsidP="00C72F05">
      <w:pPr>
        <w:pBdr>
          <w:left w:val="single" w:sz="4" w:space="4" w:color="auto"/>
        </w:pBdr>
        <w:ind w:left="0" w:firstLine="0"/>
        <w:rPr>
          <w:sz w:val="16"/>
          <w:szCs w:val="16"/>
          <w:lang w:val="es-CO"/>
        </w:rPr>
      </w:pPr>
    </w:p>
    <w:p w14:paraId="621522B5" w14:textId="5FE15278" w:rsidR="00911D3F" w:rsidRDefault="00911D3F" w:rsidP="00C72F05">
      <w:pPr>
        <w:pBdr>
          <w:left w:val="single" w:sz="4" w:space="4" w:color="auto"/>
        </w:pBdr>
        <w:ind w:left="0" w:firstLine="0"/>
        <w:rPr>
          <w:sz w:val="16"/>
          <w:szCs w:val="16"/>
          <w:lang w:val="es-CO"/>
        </w:rPr>
      </w:pPr>
    </w:p>
    <w:p w14:paraId="6225A1D4" w14:textId="58BE32DB" w:rsidR="00911D3F" w:rsidRDefault="00911D3F" w:rsidP="00C72F05">
      <w:pPr>
        <w:pBdr>
          <w:left w:val="single" w:sz="4" w:space="4" w:color="auto"/>
        </w:pBdr>
        <w:ind w:left="0" w:firstLine="0"/>
        <w:rPr>
          <w:sz w:val="16"/>
          <w:szCs w:val="16"/>
          <w:lang w:val="es-CO"/>
        </w:rPr>
      </w:pPr>
    </w:p>
    <w:p w14:paraId="13B1EA88" w14:textId="2B7F1742" w:rsidR="00911D3F" w:rsidRDefault="00911D3F" w:rsidP="00C72F05">
      <w:pPr>
        <w:pBdr>
          <w:left w:val="single" w:sz="4" w:space="4" w:color="auto"/>
        </w:pBdr>
        <w:ind w:left="0" w:firstLine="0"/>
        <w:rPr>
          <w:sz w:val="16"/>
          <w:szCs w:val="16"/>
          <w:lang w:val="es-CO"/>
        </w:rPr>
      </w:pPr>
    </w:p>
    <w:p w14:paraId="45AC0D20" w14:textId="74806FC5" w:rsidR="00911D3F" w:rsidRDefault="00911D3F" w:rsidP="00C72F05">
      <w:pPr>
        <w:pBdr>
          <w:left w:val="single" w:sz="4" w:space="4" w:color="auto"/>
        </w:pBdr>
        <w:ind w:left="0" w:firstLine="0"/>
        <w:rPr>
          <w:sz w:val="16"/>
          <w:szCs w:val="16"/>
          <w:lang w:val="es-CO"/>
        </w:rPr>
      </w:pPr>
    </w:p>
    <w:p w14:paraId="7E4CCF06" w14:textId="63AF2020" w:rsidR="00911D3F" w:rsidRDefault="00911D3F" w:rsidP="00C72F05">
      <w:pPr>
        <w:pBdr>
          <w:left w:val="single" w:sz="4" w:space="4" w:color="auto"/>
        </w:pBdr>
        <w:ind w:left="0" w:firstLine="0"/>
        <w:rPr>
          <w:sz w:val="16"/>
          <w:szCs w:val="16"/>
          <w:lang w:val="es-CO"/>
        </w:rPr>
      </w:pPr>
    </w:p>
    <w:p w14:paraId="50704AB5" w14:textId="77777777" w:rsidR="00911D3F" w:rsidRDefault="00911D3F" w:rsidP="00C72F05">
      <w:pPr>
        <w:pBdr>
          <w:left w:val="single" w:sz="4" w:space="4" w:color="auto"/>
        </w:pBdr>
        <w:ind w:left="0" w:firstLine="0"/>
        <w:rPr>
          <w:sz w:val="16"/>
          <w:szCs w:val="16"/>
          <w:lang w:val="es-CO"/>
        </w:rPr>
      </w:pPr>
    </w:p>
    <w:sectPr w:rsidR="00911D3F" w:rsidSect="00AD5683">
      <w:headerReference w:type="default" r:id="rId11"/>
      <w:footerReference w:type="default" r:id="rId12"/>
      <w:pgSz w:w="12242" w:h="18722" w:code="14"/>
      <w:pgMar w:top="1418" w:right="1701" w:bottom="1418" w:left="1701" w:header="851" w:footer="141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C2B87E" w14:textId="77777777" w:rsidR="006D5505" w:rsidRDefault="006D5505" w:rsidP="006D1E1A">
      <w:r>
        <w:separator/>
      </w:r>
    </w:p>
  </w:endnote>
  <w:endnote w:type="continuationSeparator" w:id="0">
    <w:p w14:paraId="478AABE2" w14:textId="77777777" w:rsidR="006D5505" w:rsidRDefault="006D5505" w:rsidP="006D1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863448" w14:textId="77777777" w:rsidR="00AD5683" w:rsidRPr="008D423C" w:rsidRDefault="00AD5683" w:rsidP="00754293">
    <w:pPr>
      <w:pStyle w:val="Piedepgina"/>
      <w:tabs>
        <w:tab w:val="clear" w:pos="4252"/>
        <w:tab w:val="clear" w:pos="8504"/>
        <w:tab w:val="center" w:pos="8789"/>
      </w:tabs>
      <w:ind w:left="0" w:firstLine="0"/>
      <w:rPr>
        <w:rFonts w:cs="Arial"/>
        <w:b/>
        <w:sz w:val="18"/>
        <w:szCs w:val="18"/>
      </w:rPr>
    </w:pPr>
    <w:r w:rsidRPr="008D423C">
      <w:rPr>
        <w:rFonts w:cs="Arial"/>
        <w:b/>
        <w:sz w:val="18"/>
        <w:szCs w:val="18"/>
      </w:rPr>
      <w:t>PA</w:t>
    </w:r>
    <w:r>
      <w:rPr>
        <w:rFonts w:cs="Arial"/>
        <w:b/>
        <w:sz w:val="18"/>
        <w:szCs w:val="18"/>
      </w:rPr>
      <w:t>RTE II – TÍTULO V – CAPÍTULO IV</w:t>
    </w:r>
    <w:r w:rsidRPr="008D423C">
      <w:rPr>
        <w:rFonts w:cs="Arial"/>
        <w:b/>
        <w:sz w:val="18"/>
        <w:szCs w:val="18"/>
      </w:rPr>
      <w:t xml:space="preserve"> </w:t>
    </w:r>
    <w:r>
      <w:rPr>
        <w:rFonts w:cs="Arial"/>
        <w:b/>
        <w:sz w:val="18"/>
        <w:szCs w:val="18"/>
      </w:rPr>
      <w:t xml:space="preserve">                                                                                             </w:t>
    </w:r>
    <w:r w:rsidRPr="00DD0BD2">
      <w:rPr>
        <w:b/>
        <w:sz w:val="18"/>
        <w:szCs w:val="18"/>
      </w:rPr>
      <w:t>PÁGINA</w:t>
    </w:r>
    <w:r>
      <w:rPr>
        <w:rFonts w:cs="Arial"/>
        <w:b/>
        <w:sz w:val="18"/>
        <w:szCs w:val="18"/>
      </w:rPr>
      <w:t xml:space="preserve">    </w:t>
    </w:r>
    <w:r w:rsidRPr="00281684">
      <w:rPr>
        <w:rFonts w:cs="Arial"/>
        <w:b/>
        <w:sz w:val="18"/>
        <w:szCs w:val="18"/>
      </w:rPr>
      <w:fldChar w:fldCharType="begin"/>
    </w:r>
    <w:r w:rsidRPr="00281684">
      <w:rPr>
        <w:rFonts w:cs="Arial"/>
        <w:b/>
        <w:sz w:val="18"/>
        <w:szCs w:val="18"/>
      </w:rPr>
      <w:instrText>PAGE   \* MERGEFORMAT</w:instrText>
    </w:r>
    <w:r w:rsidRPr="00281684">
      <w:rPr>
        <w:rFonts w:cs="Arial"/>
        <w:b/>
        <w:sz w:val="18"/>
        <w:szCs w:val="18"/>
      </w:rPr>
      <w:fldChar w:fldCharType="separate"/>
    </w:r>
    <w:r w:rsidRPr="00E75637">
      <w:rPr>
        <w:rFonts w:cs="Arial"/>
        <w:b/>
        <w:noProof/>
        <w:sz w:val="18"/>
        <w:szCs w:val="18"/>
        <w:lang w:val="es-ES"/>
      </w:rPr>
      <w:t>5</w:t>
    </w:r>
    <w:r w:rsidRPr="00281684">
      <w:rPr>
        <w:rFonts w:cs="Arial"/>
        <w:b/>
        <w:sz w:val="18"/>
        <w:szCs w:val="18"/>
      </w:rPr>
      <w:fldChar w:fldCharType="end"/>
    </w:r>
    <w:r>
      <w:rPr>
        <w:rFonts w:cs="Arial"/>
        <w:b/>
        <w:sz w:val="18"/>
        <w:szCs w:val="18"/>
      </w:rPr>
      <w:t xml:space="preserve">                               </w:t>
    </w:r>
  </w:p>
  <w:p w14:paraId="1590A37F" w14:textId="278604C9" w:rsidR="00AD5683" w:rsidRPr="006D1E1A" w:rsidRDefault="00AD5683" w:rsidP="006D1E1A">
    <w:pPr>
      <w:pStyle w:val="Piedepgina"/>
      <w:tabs>
        <w:tab w:val="clear" w:pos="8504"/>
        <w:tab w:val="right" w:pos="9356"/>
      </w:tabs>
      <w:ind w:left="0" w:firstLine="0"/>
      <w:rPr>
        <w:rFonts w:cs="Arial"/>
        <w:b/>
        <w:sz w:val="18"/>
        <w:szCs w:val="18"/>
      </w:rPr>
    </w:pPr>
    <w:r>
      <w:rPr>
        <w:rFonts w:cs="Arial"/>
        <w:b/>
        <w:sz w:val="18"/>
        <w:szCs w:val="18"/>
      </w:rPr>
      <w:t xml:space="preserve">Circular </w:t>
    </w:r>
    <w:proofErr w:type="gramStart"/>
    <w:r>
      <w:rPr>
        <w:rFonts w:cs="Arial"/>
        <w:b/>
        <w:sz w:val="18"/>
        <w:szCs w:val="18"/>
      </w:rPr>
      <w:t xml:space="preserve">Externa </w:t>
    </w:r>
    <w:r w:rsidR="00C72F05">
      <w:rPr>
        <w:rFonts w:cs="Arial"/>
        <w:b/>
        <w:sz w:val="18"/>
        <w:szCs w:val="18"/>
      </w:rPr>
      <w:t xml:space="preserve"> </w:t>
    </w:r>
    <w:r w:rsidR="00FC6B02">
      <w:rPr>
        <w:rFonts w:cs="Arial"/>
        <w:b/>
        <w:sz w:val="18"/>
        <w:szCs w:val="18"/>
      </w:rPr>
      <w:t>002</w:t>
    </w:r>
    <w:proofErr w:type="gramEnd"/>
    <w:r w:rsidR="00C72F05">
      <w:rPr>
        <w:rFonts w:cs="Arial"/>
        <w:b/>
        <w:sz w:val="18"/>
        <w:szCs w:val="18"/>
      </w:rPr>
      <w:t xml:space="preserve">  </w:t>
    </w:r>
    <w:r>
      <w:rPr>
        <w:rFonts w:cs="Arial"/>
        <w:b/>
        <w:sz w:val="18"/>
        <w:szCs w:val="18"/>
      </w:rPr>
      <w:t>de 20</w:t>
    </w:r>
    <w:r w:rsidR="00C72F05">
      <w:rPr>
        <w:rFonts w:cs="Arial"/>
        <w:b/>
        <w:sz w:val="18"/>
        <w:szCs w:val="18"/>
      </w:rPr>
      <w:t>2</w:t>
    </w:r>
    <w:r>
      <w:rPr>
        <w:rFonts w:cs="Arial"/>
        <w:b/>
        <w:sz w:val="18"/>
        <w:szCs w:val="18"/>
      </w:rPr>
      <w:t>1</w:t>
    </w:r>
    <w:r w:rsidRPr="006D1E1A">
      <w:rPr>
        <w:rFonts w:cs="Arial"/>
        <w:b/>
        <w:sz w:val="18"/>
        <w:szCs w:val="18"/>
      </w:rPr>
      <w:tab/>
    </w:r>
    <w:r w:rsidR="00526E26">
      <w:rPr>
        <w:rFonts w:cs="Arial"/>
        <w:b/>
        <w:sz w:val="18"/>
        <w:szCs w:val="18"/>
      </w:rPr>
      <w:tab/>
    </w:r>
    <w:r w:rsidR="00AF26B8">
      <w:rPr>
        <w:rFonts w:cs="Arial"/>
        <w:b/>
        <w:sz w:val="18"/>
        <w:szCs w:val="18"/>
      </w:rPr>
      <w:t>Marzo</w:t>
    </w:r>
    <w:r w:rsidR="00C72F05">
      <w:rPr>
        <w:rFonts w:cs="Arial"/>
        <w:b/>
        <w:sz w:val="18"/>
        <w:szCs w:val="18"/>
      </w:rPr>
      <w:t xml:space="preserve"> </w:t>
    </w:r>
    <w:r>
      <w:rPr>
        <w:rFonts w:cs="Arial"/>
        <w:b/>
        <w:sz w:val="18"/>
        <w:szCs w:val="18"/>
      </w:rPr>
      <w:t>de 20</w:t>
    </w:r>
    <w:r w:rsidR="00C72F05">
      <w:rPr>
        <w:rFonts w:cs="Arial"/>
        <w:b/>
        <w:sz w:val="18"/>
        <w:szCs w:val="18"/>
      </w:rPr>
      <w:t>2</w:t>
    </w:r>
    <w:r>
      <w:rPr>
        <w:rFonts w:cs="Arial"/>
        <w:b/>
        <w:sz w:val="18"/>
        <w:szCs w:val="18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FFB927" w14:textId="77777777" w:rsidR="006D5505" w:rsidRDefault="006D5505" w:rsidP="006D1E1A">
      <w:r>
        <w:separator/>
      </w:r>
    </w:p>
  </w:footnote>
  <w:footnote w:type="continuationSeparator" w:id="0">
    <w:p w14:paraId="7BBA915C" w14:textId="77777777" w:rsidR="006D5505" w:rsidRDefault="006D5505" w:rsidP="006D1E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B4ED7D" w14:textId="77777777" w:rsidR="00AD5683" w:rsidRPr="006D1E1A" w:rsidRDefault="00AD5683" w:rsidP="006D1E1A">
    <w:pPr>
      <w:pStyle w:val="Encabezado"/>
      <w:tabs>
        <w:tab w:val="clear" w:pos="8504"/>
        <w:tab w:val="right" w:pos="9356"/>
      </w:tabs>
      <w:ind w:left="0" w:firstLine="0"/>
      <w:jc w:val="center"/>
      <w:rPr>
        <w:rFonts w:cs="Arial"/>
        <w:b/>
      </w:rPr>
    </w:pPr>
    <w:r w:rsidRPr="006D1E1A">
      <w:rPr>
        <w:rFonts w:cs="Arial"/>
        <w:b/>
      </w:rPr>
      <w:t>SUPERINTENDENCIA</w:t>
    </w:r>
    <w:r>
      <w:rPr>
        <w:rFonts w:cs="Arial"/>
        <w:b/>
      </w:rPr>
      <w:t xml:space="preserve"> </w:t>
    </w:r>
    <w:r w:rsidRPr="006D1E1A">
      <w:rPr>
        <w:rFonts w:cs="Arial"/>
        <w:b/>
      </w:rPr>
      <w:t>FINANCIERA</w:t>
    </w:r>
    <w:r>
      <w:rPr>
        <w:rFonts w:cs="Arial"/>
        <w:b/>
      </w:rPr>
      <w:t xml:space="preserve"> </w:t>
    </w:r>
    <w:r w:rsidRPr="006D1E1A">
      <w:rPr>
        <w:rFonts w:cs="Arial"/>
        <w:b/>
      </w:rPr>
      <w:t>DE</w:t>
    </w:r>
    <w:r>
      <w:rPr>
        <w:rFonts w:cs="Arial"/>
        <w:b/>
      </w:rPr>
      <w:t xml:space="preserve"> </w:t>
    </w:r>
    <w:r w:rsidRPr="006D1E1A">
      <w:rPr>
        <w:rFonts w:cs="Arial"/>
        <w:b/>
      </w:rPr>
      <w:t>COLOMBIA</w:t>
    </w:r>
  </w:p>
  <w:p w14:paraId="0407AA0F" w14:textId="77777777" w:rsidR="00AD5683" w:rsidRDefault="00AD5683" w:rsidP="006D1E1A">
    <w:pPr>
      <w:pStyle w:val="Encabezad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3A777F"/>
    <w:multiLevelType w:val="multilevel"/>
    <w:tmpl w:val="DF6814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C6E1598"/>
    <w:multiLevelType w:val="hybridMultilevel"/>
    <w:tmpl w:val="1AD4B3A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D67B0"/>
    <w:multiLevelType w:val="hybridMultilevel"/>
    <w:tmpl w:val="43C2BD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A69B8"/>
    <w:multiLevelType w:val="multilevel"/>
    <w:tmpl w:val="144E5DC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9C55553"/>
    <w:multiLevelType w:val="multilevel"/>
    <w:tmpl w:val="16CE20C2"/>
    <w:lvl w:ilvl="0">
      <w:start w:val="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BBB03FD"/>
    <w:multiLevelType w:val="multilevel"/>
    <w:tmpl w:val="CFA0E0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5FB5A7A"/>
    <w:multiLevelType w:val="multilevel"/>
    <w:tmpl w:val="80E656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A703344"/>
    <w:multiLevelType w:val="multilevel"/>
    <w:tmpl w:val="EB44161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BD259CE"/>
    <w:multiLevelType w:val="multilevel"/>
    <w:tmpl w:val="EB5811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38D74B58"/>
    <w:multiLevelType w:val="hybridMultilevel"/>
    <w:tmpl w:val="672A291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580D44"/>
    <w:multiLevelType w:val="hybridMultilevel"/>
    <w:tmpl w:val="2272EB3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1E1BC1"/>
    <w:multiLevelType w:val="multilevel"/>
    <w:tmpl w:val="C2CA4E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BEB6D2F"/>
    <w:multiLevelType w:val="hybridMultilevel"/>
    <w:tmpl w:val="F9A49F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8A7066"/>
    <w:multiLevelType w:val="multilevel"/>
    <w:tmpl w:val="CFA0E0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51D21E7A"/>
    <w:multiLevelType w:val="hybridMultilevel"/>
    <w:tmpl w:val="C78248CE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6055ED"/>
    <w:multiLevelType w:val="hybridMultilevel"/>
    <w:tmpl w:val="39FCC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106449"/>
    <w:multiLevelType w:val="multilevel"/>
    <w:tmpl w:val="1F14B55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17" w15:restartNumberingAfterBreak="0">
    <w:nsid w:val="57E3705D"/>
    <w:multiLevelType w:val="hybridMultilevel"/>
    <w:tmpl w:val="BC22E5CC"/>
    <w:lvl w:ilvl="0" w:tplc="A1D87570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04" w:hanging="360"/>
      </w:pPr>
    </w:lvl>
    <w:lvl w:ilvl="2" w:tplc="0C0A001B" w:tentative="1">
      <w:start w:val="1"/>
      <w:numFmt w:val="lowerRoman"/>
      <w:lvlText w:val="%3."/>
      <w:lvlJc w:val="right"/>
      <w:pPr>
        <w:ind w:left="2424" w:hanging="180"/>
      </w:pPr>
    </w:lvl>
    <w:lvl w:ilvl="3" w:tplc="0C0A000F" w:tentative="1">
      <w:start w:val="1"/>
      <w:numFmt w:val="decimal"/>
      <w:lvlText w:val="%4."/>
      <w:lvlJc w:val="left"/>
      <w:pPr>
        <w:ind w:left="3144" w:hanging="360"/>
      </w:pPr>
    </w:lvl>
    <w:lvl w:ilvl="4" w:tplc="0C0A0019" w:tentative="1">
      <w:start w:val="1"/>
      <w:numFmt w:val="lowerLetter"/>
      <w:lvlText w:val="%5."/>
      <w:lvlJc w:val="left"/>
      <w:pPr>
        <w:ind w:left="3864" w:hanging="360"/>
      </w:pPr>
    </w:lvl>
    <w:lvl w:ilvl="5" w:tplc="0C0A001B" w:tentative="1">
      <w:start w:val="1"/>
      <w:numFmt w:val="lowerRoman"/>
      <w:lvlText w:val="%6."/>
      <w:lvlJc w:val="right"/>
      <w:pPr>
        <w:ind w:left="4584" w:hanging="180"/>
      </w:pPr>
    </w:lvl>
    <w:lvl w:ilvl="6" w:tplc="0C0A000F" w:tentative="1">
      <w:start w:val="1"/>
      <w:numFmt w:val="decimal"/>
      <w:lvlText w:val="%7."/>
      <w:lvlJc w:val="left"/>
      <w:pPr>
        <w:ind w:left="5304" w:hanging="360"/>
      </w:pPr>
    </w:lvl>
    <w:lvl w:ilvl="7" w:tplc="0C0A0019" w:tentative="1">
      <w:start w:val="1"/>
      <w:numFmt w:val="lowerLetter"/>
      <w:lvlText w:val="%8."/>
      <w:lvlJc w:val="left"/>
      <w:pPr>
        <w:ind w:left="6024" w:hanging="360"/>
      </w:pPr>
    </w:lvl>
    <w:lvl w:ilvl="8" w:tplc="0C0A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8" w15:restartNumberingAfterBreak="0">
    <w:nsid w:val="5B7601D2"/>
    <w:multiLevelType w:val="multilevel"/>
    <w:tmpl w:val="1F14B55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19" w15:restartNumberingAfterBreak="0">
    <w:nsid w:val="5DF42587"/>
    <w:multiLevelType w:val="multilevel"/>
    <w:tmpl w:val="ADA416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60526672"/>
    <w:multiLevelType w:val="multilevel"/>
    <w:tmpl w:val="C2CA4E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09D2418"/>
    <w:multiLevelType w:val="hybridMultilevel"/>
    <w:tmpl w:val="E076CD4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A20CB7"/>
    <w:multiLevelType w:val="multilevel"/>
    <w:tmpl w:val="F29CF63E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65B769D5"/>
    <w:multiLevelType w:val="hybridMultilevel"/>
    <w:tmpl w:val="B54CB6E2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ED1E9C"/>
    <w:multiLevelType w:val="multilevel"/>
    <w:tmpl w:val="C98462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6FFA2454"/>
    <w:multiLevelType w:val="hybridMultilevel"/>
    <w:tmpl w:val="B27E1320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06512D"/>
    <w:multiLevelType w:val="multilevel"/>
    <w:tmpl w:val="CFA0E0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778B5CDD"/>
    <w:multiLevelType w:val="multilevel"/>
    <w:tmpl w:val="09E4C81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8"/>
  </w:num>
  <w:num w:numId="2">
    <w:abstractNumId w:val="11"/>
  </w:num>
  <w:num w:numId="3">
    <w:abstractNumId w:val="12"/>
  </w:num>
  <w:num w:numId="4">
    <w:abstractNumId w:val="15"/>
  </w:num>
  <w:num w:numId="5">
    <w:abstractNumId w:val="2"/>
  </w:num>
  <w:num w:numId="6">
    <w:abstractNumId w:val="17"/>
  </w:num>
  <w:num w:numId="7">
    <w:abstractNumId w:val="22"/>
  </w:num>
  <w:num w:numId="8">
    <w:abstractNumId w:val="1"/>
  </w:num>
  <w:num w:numId="9">
    <w:abstractNumId w:val="10"/>
  </w:num>
  <w:num w:numId="10">
    <w:abstractNumId w:val="26"/>
  </w:num>
  <w:num w:numId="11">
    <w:abstractNumId w:val="0"/>
  </w:num>
  <w:num w:numId="12">
    <w:abstractNumId w:val="24"/>
  </w:num>
  <w:num w:numId="13">
    <w:abstractNumId w:val="9"/>
  </w:num>
  <w:num w:numId="14">
    <w:abstractNumId w:val="3"/>
  </w:num>
  <w:num w:numId="15">
    <w:abstractNumId w:val="23"/>
  </w:num>
  <w:num w:numId="16">
    <w:abstractNumId w:val="14"/>
  </w:num>
  <w:num w:numId="17">
    <w:abstractNumId w:val="21"/>
  </w:num>
  <w:num w:numId="18">
    <w:abstractNumId w:val="5"/>
  </w:num>
  <w:num w:numId="19">
    <w:abstractNumId w:val="13"/>
  </w:num>
  <w:num w:numId="20">
    <w:abstractNumId w:val="25"/>
  </w:num>
  <w:num w:numId="21">
    <w:abstractNumId w:val="7"/>
  </w:num>
  <w:num w:numId="22">
    <w:abstractNumId w:val="20"/>
  </w:num>
  <w:num w:numId="23">
    <w:abstractNumId w:val="19"/>
  </w:num>
  <w:num w:numId="24">
    <w:abstractNumId w:val="27"/>
  </w:num>
  <w:num w:numId="25">
    <w:abstractNumId w:val="4"/>
  </w:num>
  <w:num w:numId="26">
    <w:abstractNumId w:val="16"/>
  </w:num>
  <w:num w:numId="27">
    <w:abstractNumId w:val="18"/>
  </w:num>
  <w:num w:numId="28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E1A"/>
    <w:rsid w:val="000008FD"/>
    <w:rsid w:val="000054D2"/>
    <w:rsid w:val="00005D09"/>
    <w:rsid w:val="00010999"/>
    <w:rsid w:val="00011DEF"/>
    <w:rsid w:val="0001422D"/>
    <w:rsid w:val="0001654D"/>
    <w:rsid w:val="00017B79"/>
    <w:rsid w:val="000225D1"/>
    <w:rsid w:val="000240AA"/>
    <w:rsid w:val="000258EC"/>
    <w:rsid w:val="00025BFC"/>
    <w:rsid w:val="000352E0"/>
    <w:rsid w:val="00035C7B"/>
    <w:rsid w:val="0004117A"/>
    <w:rsid w:val="000416DF"/>
    <w:rsid w:val="00041806"/>
    <w:rsid w:val="00042CAA"/>
    <w:rsid w:val="00043C74"/>
    <w:rsid w:val="00050D47"/>
    <w:rsid w:val="000510C7"/>
    <w:rsid w:val="00051C1E"/>
    <w:rsid w:val="00055EA7"/>
    <w:rsid w:val="000578B3"/>
    <w:rsid w:val="00062B9F"/>
    <w:rsid w:val="00064DC9"/>
    <w:rsid w:val="0007096F"/>
    <w:rsid w:val="000741DF"/>
    <w:rsid w:val="00074874"/>
    <w:rsid w:val="000750B4"/>
    <w:rsid w:val="000758A5"/>
    <w:rsid w:val="00075C00"/>
    <w:rsid w:val="00083655"/>
    <w:rsid w:val="00084666"/>
    <w:rsid w:val="00084815"/>
    <w:rsid w:val="00084A67"/>
    <w:rsid w:val="00084CF8"/>
    <w:rsid w:val="000A1204"/>
    <w:rsid w:val="000A260E"/>
    <w:rsid w:val="000A30D8"/>
    <w:rsid w:val="000A4597"/>
    <w:rsid w:val="000A630D"/>
    <w:rsid w:val="000A6E14"/>
    <w:rsid w:val="000B055E"/>
    <w:rsid w:val="000B3EDA"/>
    <w:rsid w:val="000B5EBF"/>
    <w:rsid w:val="000C0F8B"/>
    <w:rsid w:val="000C164B"/>
    <w:rsid w:val="000C2096"/>
    <w:rsid w:val="000C232E"/>
    <w:rsid w:val="000C3723"/>
    <w:rsid w:val="000D3818"/>
    <w:rsid w:val="000D4C93"/>
    <w:rsid w:val="000E7EB7"/>
    <w:rsid w:val="000F0F12"/>
    <w:rsid w:val="000F48EC"/>
    <w:rsid w:val="000F6910"/>
    <w:rsid w:val="000F7D57"/>
    <w:rsid w:val="00100105"/>
    <w:rsid w:val="001013C0"/>
    <w:rsid w:val="00101B72"/>
    <w:rsid w:val="0010252F"/>
    <w:rsid w:val="00102C1B"/>
    <w:rsid w:val="001107F8"/>
    <w:rsid w:val="001130D2"/>
    <w:rsid w:val="001161E5"/>
    <w:rsid w:val="00120565"/>
    <w:rsid w:val="00121C58"/>
    <w:rsid w:val="00123BA2"/>
    <w:rsid w:val="001242BA"/>
    <w:rsid w:val="00125255"/>
    <w:rsid w:val="0014314C"/>
    <w:rsid w:val="00151E9D"/>
    <w:rsid w:val="00154B71"/>
    <w:rsid w:val="00157055"/>
    <w:rsid w:val="00157CBF"/>
    <w:rsid w:val="00160358"/>
    <w:rsid w:val="001654F3"/>
    <w:rsid w:val="00165DDC"/>
    <w:rsid w:val="001702CA"/>
    <w:rsid w:val="00170DF0"/>
    <w:rsid w:val="00175425"/>
    <w:rsid w:val="00177215"/>
    <w:rsid w:val="001775B3"/>
    <w:rsid w:val="00190DA2"/>
    <w:rsid w:val="00193586"/>
    <w:rsid w:val="0019656E"/>
    <w:rsid w:val="001979DA"/>
    <w:rsid w:val="00197B75"/>
    <w:rsid w:val="00197BB1"/>
    <w:rsid w:val="001A1477"/>
    <w:rsid w:val="001A67B6"/>
    <w:rsid w:val="001B0E05"/>
    <w:rsid w:val="001B1049"/>
    <w:rsid w:val="001B2D31"/>
    <w:rsid w:val="001B3F42"/>
    <w:rsid w:val="001B6718"/>
    <w:rsid w:val="001C35FC"/>
    <w:rsid w:val="001C3785"/>
    <w:rsid w:val="001C4EA8"/>
    <w:rsid w:val="001C59C2"/>
    <w:rsid w:val="001C7C46"/>
    <w:rsid w:val="001D21FB"/>
    <w:rsid w:val="001D2B67"/>
    <w:rsid w:val="001D2EB7"/>
    <w:rsid w:val="001D494D"/>
    <w:rsid w:val="001D5722"/>
    <w:rsid w:val="001D71D3"/>
    <w:rsid w:val="001D7249"/>
    <w:rsid w:val="001E0D93"/>
    <w:rsid w:val="001E10B4"/>
    <w:rsid w:val="001E2B79"/>
    <w:rsid w:val="001E6E3D"/>
    <w:rsid w:val="001E6EE8"/>
    <w:rsid w:val="001F3BAB"/>
    <w:rsid w:val="001F516F"/>
    <w:rsid w:val="00200438"/>
    <w:rsid w:val="00200C5E"/>
    <w:rsid w:val="0020106C"/>
    <w:rsid w:val="0020365A"/>
    <w:rsid w:val="0020619E"/>
    <w:rsid w:val="00206A57"/>
    <w:rsid w:val="00210810"/>
    <w:rsid w:val="00211B0A"/>
    <w:rsid w:val="00211EB0"/>
    <w:rsid w:val="00212745"/>
    <w:rsid w:val="002167E4"/>
    <w:rsid w:val="002211F2"/>
    <w:rsid w:val="00226159"/>
    <w:rsid w:val="0022662A"/>
    <w:rsid w:val="00227668"/>
    <w:rsid w:val="00231D19"/>
    <w:rsid w:val="00233719"/>
    <w:rsid w:val="002368F7"/>
    <w:rsid w:val="00243862"/>
    <w:rsid w:val="00243EA6"/>
    <w:rsid w:val="00247C7D"/>
    <w:rsid w:val="00247EB9"/>
    <w:rsid w:val="00250E61"/>
    <w:rsid w:val="00253E29"/>
    <w:rsid w:val="002548EE"/>
    <w:rsid w:val="00262CD4"/>
    <w:rsid w:val="00263BDA"/>
    <w:rsid w:val="002641D1"/>
    <w:rsid w:val="0026763E"/>
    <w:rsid w:val="00271A3F"/>
    <w:rsid w:val="00271B43"/>
    <w:rsid w:val="00271EBC"/>
    <w:rsid w:val="0027339F"/>
    <w:rsid w:val="00273F02"/>
    <w:rsid w:val="00280331"/>
    <w:rsid w:val="00281684"/>
    <w:rsid w:val="00281CBE"/>
    <w:rsid w:val="00284960"/>
    <w:rsid w:val="002869AF"/>
    <w:rsid w:val="00290BC1"/>
    <w:rsid w:val="00295BE2"/>
    <w:rsid w:val="002A28EA"/>
    <w:rsid w:val="002A2B2B"/>
    <w:rsid w:val="002A38DD"/>
    <w:rsid w:val="002A7787"/>
    <w:rsid w:val="002B05F7"/>
    <w:rsid w:val="002B18DE"/>
    <w:rsid w:val="002B52CB"/>
    <w:rsid w:val="002B6B22"/>
    <w:rsid w:val="002C5C79"/>
    <w:rsid w:val="002C6286"/>
    <w:rsid w:val="002D3ADE"/>
    <w:rsid w:val="002D5A8B"/>
    <w:rsid w:val="002D6DA1"/>
    <w:rsid w:val="002E1520"/>
    <w:rsid w:val="002E210B"/>
    <w:rsid w:val="002E6380"/>
    <w:rsid w:val="002E7A36"/>
    <w:rsid w:val="002F42DD"/>
    <w:rsid w:val="002F7330"/>
    <w:rsid w:val="0030519A"/>
    <w:rsid w:val="0030523B"/>
    <w:rsid w:val="00311DFB"/>
    <w:rsid w:val="00313FDE"/>
    <w:rsid w:val="00317085"/>
    <w:rsid w:val="003211EA"/>
    <w:rsid w:val="00322CB0"/>
    <w:rsid w:val="003272DA"/>
    <w:rsid w:val="003273DD"/>
    <w:rsid w:val="0033379F"/>
    <w:rsid w:val="003357E3"/>
    <w:rsid w:val="00342396"/>
    <w:rsid w:val="00345A5A"/>
    <w:rsid w:val="00347080"/>
    <w:rsid w:val="003470AE"/>
    <w:rsid w:val="00353C48"/>
    <w:rsid w:val="003558EC"/>
    <w:rsid w:val="003632EA"/>
    <w:rsid w:val="00364087"/>
    <w:rsid w:val="00370FE4"/>
    <w:rsid w:val="00372EB8"/>
    <w:rsid w:val="00380FCA"/>
    <w:rsid w:val="00381FB0"/>
    <w:rsid w:val="003826AC"/>
    <w:rsid w:val="00385446"/>
    <w:rsid w:val="003872A5"/>
    <w:rsid w:val="00390FA5"/>
    <w:rsid w:val="00392B94"/>
    <w:rsid w:val="00395022"/>
    <w:rsid w:val="00396550"/>
    <w:rsid w:val="00396B5A"/>
    <w:rsid w:val="003A188E"/>
    <w:rsid w:val="003A2E4A"/>
    <w:rsid w:val="003A7A56"/>
    <w:rsid w:val="003B6190"/>
    <w:rsid w:val="003C4F01"/>
    <w:rsid w:val="003C6959"/>
    <w:rsid w:val="003C7956"/>
    <w:rsid w:val="003D1033"/>
    <w:rsid w:val="003D3DA9"/>
    <w:rsid w:val="003D4860"/>
    <w:rsid w:val="003D531F"/>
    <w:rsid w:val="003D5993"/>
    <w:rsid w:val="003D5E4A"/>
    <w:rsid w:val="003E0B41"/>
    <w:rsid w:val="003E2507"/>
    <w:rsid w:val="003E705A"/>
    <w:rsid w:val="003F0B02"/>
    <w:rsid w:val="003F34FC"/>
    <w:rsid w:val="003F5C04"/>
    <w:rsid w:val="003F5C26"/>
    <w:rsid w:val="003F7FCE"/>
    <w:rsid w:val="00401B62"/>
    <w:rsid w:val="00403BE7"/>
    <w:rsid w:val="00406BB3"/>
    <w:rsid w:val="004102C8"/>
    <w:rsid w:val="004149B9"/>
    <w:rsid w:val="00420C20"/>
    <w:rsid w:val="004236F5"/>
    <w:rsid w:val="004256AD"/>
    <w:rsid w:val="00433856"/>
    <w:rsid w:val="00434357"/>
    <w:rsid w:val="0044008B"/>
    <w:rsid w:val="00445596"/>
    <w:rsid w:val="00446B42"/>
    <w:rsid w:val="00451AB3"/>
    <w:rsid w:val="00456747"/>
    <w:rsid w:val="004572E1"/>
    <w:rsid w:val="00457FDE"/>
    <w:rsid w:val="00460A6A"/>
    <w:rsid w:val="004662C0"/>
    <w:rsid w:val="00466BE6"/>
    <w:rsid w:val="00470DBE"/>
    <w:rsid w:val="00472468"/>
    <w:rsid w:val="00476327"/>
    <w:rsid w:val="004813FF"/>
    <w:rsid w:val="0048228D"/>
    <w:rsid w:val="00482537"/>
    <w:rsid w:val="00482B4A"/>
    <w:rsid w:val="00484CC0"/>
    <w:rsid w:val="00485D2C"/>
    <w:rsid w:val="004861CE"/>
    <w:rsid w:val="004865BC"/>
    <w:rsid w:val="00486BA8"/>
    <w:rsid w:val="00494693"/>
    <w:rsid w:val="00495489"/>
    <w:rsid w:val="00496D48"/>
    <w:rsid w:val="00497510"/>
    <w:rsid w:val="00497A20"/>
    <w:rsid w:val="004A0DCE"/>
    <w:rsid w:val="004A20DB"/>
    <w:rsid w:val="004A24DA"/>
    <w:rsid w:val="004A3862"/>
    <w:rsid w:val="004A75DE"/>
    <w:rsid w:val="004B0BB3"/>
    <w:rsid w:val="004B2823"/>
    <w:rsid w:val="004B34C5"/>
    <w:rsid w:val="004B382C"/>
    <w:rsid w:val="004B4F61"/>
    <w:rsid w:val="004B7FBC"/>
    <w:rsid w:val="004C0FFC"/>
    <w:rsid w:val="004C3FFA"/>
    <w:rsid w:val="004D69B0"/>
    <w:rsid w:val="004E09BB"/>
    <w:rsid w:val="004E16CF"/>
    <w:rsid w:val="004E2789"/>
    <w:rsid w:val="004E3974"/>
    <w:rsid w:val="004E4EE6"/>
    <w:rsid w:val="004E74D6"/>
    <w:rsid w:val="004F1BF7"/>
    <w:rsid w:val="004F5366"/>
    <w:rsid w:val="004F5A67"/>
    <w:rsid w:val="004F6042"/>
    <w:rsid w:val="004F652E"/>
    <w:rsid w:val="004F6F33"/>
    <w:rsid w:val="00502F7A"/>
    <w:rsid w:val="00503A38"/>
    <w:rsid w:val="005060D1"/>
    <w:rsid w:val="00506262"/>
    <w:rsid w:val="00510ABF"/>
    <w:rsid w:val="0051238E"/>
    <w:rsid w:val="0051395C"/>
    <w:rsid w:val="00513C7B"/>
    <w:rsid w:val="00513C8D"/>
    <w:rsid w:val="00516F54"/>
    <w:rsid w:val="00517CA4"/>
    <w:rsid w:val="00521E66"/>
    <w:rsid w:val="00526E26"/>
    <w:rsid w:val="0053170C"/>
    <w:rsid w:val="00533194"/>
    <w:rsid w:val="00540C4C"/>
    <w:rsid w:val="00543CC2"/>
    <w:rsid w:val="00546626"/>
    <w:rsid w:val="00547AE9"/>
    <w:rsid w:val="0055099D"/>
    <w:rsid w:val="0055344F"/>
    <w:rsid w:val="00556D25"/>
    <w:rsid w:val="005571D4"/>
    <w:rsid w:val="005603C8"/>
    <w:rsid w:val="00561AA5"/>
    <w:rsid w:val="00566B7F"/>
    <w:rsid w:val="00567F9D"/>
    <w:rsid w:val="0057106D"/>
    <w:rsid w:val="0057500F"/>
    <w:rsid w:val="00575704"/>
    <w:rsid w:val="00580C14"/>
    <w:rsid w:val="00580DE5"/>
    <w:rsid w:val="0058445A"/>
    <w:rsid w:val="00585175"/>
    <w:rsid w:val="0058565B"/>
    <w:rsid w:val="00586868"/>
    <w:rsid w:val="005927E6"/>
    <w:rsid w:val="00594352"/>
    <w:rsid w:val="00595B11"/>
    <w:rsid w:val="00596046"/>
    <w:rsid w:val="005A0D2A"/>
    <w:rsid w:val="005A6EDC"/>
    <w:rsid w:val="005A6F21"/>
    <w:rsid w:val="005A7AF2"/>
    <w:rsid w:val="005B1C3D"/>
    <w:rsid w:val="005B435C"/>
    <w:rsid w:val="005B7443"/>
    <w:rsid w:val="005B7FD5"/>
    <w:rsid w:val="005C295E"/>
    <w:rsid w:val="005D3193"/>
    <w:rsid w:val="005D65AD"/>
    <w:rsid w:val="005E5766"/>
    <w:rsid w:val="005E6580"/>
    <w:rsid w:val="005E6913"/>
    <w:rsid w:val="005F15E3"/>
    <w:rsid w:val="005F557D"/>
    <w:rsid w:val="0060203A"/>
    <w:rsid w:val="00602169"/>
    <w:rsid w:val="00603F0C"/>
    <w:rsid w:val="00610179"/>
    <w:rsid w:val="00614A61"/>
    <w:rsid w:val="00615884"/>
    <w:rsid w:val="00616C59"/>
    <w:rsid w:val="00617007"/>
    <w:rsid w:val="00624DCE"/>
    <w:rsid w:val="0063216E"/>
    <w:rsid w:val="00633CBC"/>
    <w:rsid w:val="00640C52"/>
    <w:rsid w:val="00644104"/>
    <w:rsid w:val="00644EF5"/>
    <w:rsid w:val="0064515A"/>
    <w:rsid w:val="00647DA8"/>
    <w:rsid w:val="00650AB8"/>
    <w:rsid w:val="00651DC8"/>
    <w:rsid w:val="0065758A"/>
    <w:rsid w:val="00661B27"/>
    <w:rsid w:val="006639C2"/>
    <w:rsid w:val="00666902"/>
    <w:rsid w:val="00672AF6"/>
    <w:rsid w:val="006773CA"/>
    <w:rsid w:val="00681168"/>
    <w:rsid w:val="00681648"/>
    <w:rsid w:val="006820D4"/>
    <w:rsid w:val="006831AC"/>
    <w:rsid w:val="00695526"/>
    <w:rsid w:val="006A02BB"/>
    <w:rsid w:val="006A0869"/>
    <w:rsid w:val="006A12B7"/>
    <w:rsid w:val="006A5226"/>
    <w:rsid w:val="006A5325"/>
    <w:rsid w:val="006A7E45"/>
    <w:rsid w:val="006B6864"/>
    <w:rsid w:val="006C0F42"/>
    <w:rsid w:val="006C23F3"/>
    <w:rsid w:val="006D1E1A"/>
    <w:rsid w:val="006D3710"/>
    <w:rsid w:val="006D3F07"/>
    <w:rsid w:val="006D5505"/>
    <w:rsid w:val="006D64A8"/>
    <w:rsid w:val="006D6B51"/>
    <w:rsid w:val="006D6CD5"/>
    <w:rsid w:val="006E00D4"/>
    <w:rsid w:val="006E0690"/>
    <w:rsid w:val="006E0F08"/>
    <w:rsid w:val="006E46AE"/>
    <w:rsid w:val="006E57E9"/>
    <w:rsid w:val="006E59AD"/>
    <w:rsid w:val="006E6467"/>
    <w:rsid w:val="006F006C"/>
    <w:rsid w:val="006F0F55"/>
    <w:rsid w:val="006F247D"/>
    <w:rsid w:val="006F2490"/>
    <w:rsid w:val="006F347E"/>
    <w:rsid w:val="006F51BF"/>
    <w:rsid w:val="006F5493"/>
    <w:rsid w:val="006F6643"/>
    <w:rsid w:val="006F6D90"/>
    <w:rsid w:val="006F7361"/>
    <w:rsid w:val="00700606"/>
    <w:rsid w:val="00706FD5"/>
    <w:rsid w:val="00707E25"/>
    <w:rsid w:val="007131E4"/>
    <w:rsid w:val="0071385E"/>
    <w:rsid w:val="00713DB3"/>
    <w:rsid w:val="007152E2"/>
    <w:rsid w:val="00716D5B"/>
    <w:rsid w:val="007174E5"/>
    <w:rsid w:val="00723156"/>
    <w:rsid w:val="00727084"/>
    <w:rsid w:val="0073124E"/>
    <w:rsid w:val="00737E87"/>
    <w:rsid w:val="007435E7"/>
    <w:rsid w:val="00744E42"/>
    <w:rsid w:val="0074647B"/>
    <w:rsid w:val="00752549"/>
    <w:rsid w:val="00753AEE"/>
    <w:rsid w:val="00754293"/>
    <w:rsid w:val="00756341"/>
    <w:rsid w:val="00757080"/>
    <w:rsid w:val="0076367C"/>
    <w:rsid w:val="00765692"/>
    <w:rsid w:val="00767EEE"/>
    <w:rsid w:val="0077045B"/>
    <w:rsid w:val="007764E0"/>
    <w:rsid w:val="00783445"/>
    <w:rsid w:val="00790CF1"/>
    <w:rsid w:val="007916B5"/>
    <w:rsid w:val="007959AA"/>
    <w:rsid w:val="007A374F"/>
    <w:rsid w:val="007A57F3"/>
    <w:rsid w:val="007A6F21"/>
    <w:rsid w:val="007B280D"/>
    <w:rsid w:val="007B29FF"/>
    <w:rsid w:val="007B3A73"/>
    <w:rsid w:val="007B68B0"/>
    <w:rsid w:val="007C1AD6"/>
    <w:rsid w:val="007C50C1"/>
    <w:rsid w:val="007C71E2"/>
    <w:rsid w:val="007C7F4D"/>
    <w:rsid w:val="007D0F6F"/>
    <w:rsid w:val="007D47FB"/>
    <w:rsid w:val="007D6D3E"/>
    <w:rsid w:val="007E0115"/>
    <w:rsid w:val="007E0AC9"/>
    <w:rsid w:val="007E0BF7"/>
    <w:rsid w:val="007E113C"/>
    <w:rsid w:val="007F3C69"/>
    <w:rsid w:val="00801F6E"/>
    <w:rsid w:val="008046CB"/>
    <w:rsid w:val="00804D89"/>
    <w:rsid w:val="00813007"/>
    <w:rsid w:val="008159CD"/>
    <w:rsid w:val="0082200A"/>
    <w:rsid w:val="00826A57"/>
    <w:rsid w:val="00837401"/>
    <w:rsid w:val="0084340F"/>
    <w:rsid w:val="00843E80"/>
    <w:rsid w:val="00844B86"/>
    <w:rsid w:val="00847523"/>
    <w:rsid w:val="00855B4E"/>
    <w:rsid w:val="00860BA8"/>
    <w:rsid w:val="00863919"/>
    <w:rsid w:val="00864CDA"/>
    <w:rsid w:val="008760FE"/>
    <w:rsid w:val="008761ED"/>
    <w:rsid w:val="008831B7"/>
    <w:rsid w:val="00884CD5"/>
    <w:rsid w:val="00886AA3"/>
    <w:rsid w:val="008870E5"/>
    <w:rsid w:val="00887B4E"/>
    <w:rsid w:val="00895B71"/>
    <w:rsid w:val="00897D48"/>
    <w:rsid w:val="008A3170"/>
    <w:rsid w:val="008A6B6A"/>
    <w:rsid w:val="008B1182"/>
    <w:rsid w:val="008B215B"/>
    <w:rsid w:val="008C44AC"/>
    <w:rsid w:val="008C5A1C"/>
    <w:rsid w:val="008C78FC"/>
    <w:rsid w:val="008D1975"/>
    <w:rsid w:val="008D53DA"/>
    <w:rsid w:val="008D5F35"/>
    <w:rsid w:val="008E0A45"/>
    <w:rsid w:val="008E5FC1"/>
    <w:rsid w:val="008F4970"/>
    <w:rsid w:val="00900321"/>
    <w:rsid w:val="0090258D"/>
    <w:rsid w:val="00903554"/>
    <w:rsid w:val="009036C0"/>
    <w:rsid w:val="0091057F"/>
    <w:rsid w:val="00911D3F"/>
    <w:rsid w:val="00913572"/>
    <w:rsid w:val="009137EE"/>
    <w:rsid w:val="009147A6"/>
    <w:rsid w:val="00915190"/>
    <w:rsid w:val="00917982"/>
    <w:rsid w:val="00923EEF"/>
    <w:rsid w:val="00925FBD"/>
    <w:rsid w:val="009264B6"/>
    <w:rsid w:val="00927B60"/>
    <w:rsid w:val="00930144"/>
    <w:rsid w:val="009319CD"/>
    <w:rsid w:val="00932D69"/>
    <w:rsid w:val="009442DC"/>
    <w:rsid w:val="00945E04"/>
    <w:rsid w:val="009469D3"/>
    <w:rsid w:val="0096338A"/>
    <w:rsid w:val="00965D74"/>
    <w:rsid w:val="00965E86"/>
    <w:rsid w:val="00966C47"/>
    <w:rsid w:val="00971F61"/>
    <w:rsid w:val="009828F0"/>
    <w:rsid w:val="009837C1"/>
    <w:rsid w:val="00984055"/>
    <w:rsid w:val="0098479D"/>
    <w:rsid w:val="00985F71"/>
    <w:rsid w:val="00986D32"/>
    <w:rsid w:val="00995F32"/>
    <w:rsid w:val="00996100"/>
    <w:rsid w:val="009A0F9C"/>
    <w:rsid w:val="009A2C24"/>
    <w:rsid w:val="009A3C36"/>
    <w:rsid w:val="009B546D"/>
    <w:rsid w:val="009B7525"/>
    <w:rsid w:val="009C0343"/>
    <w:rsid w:val="009C127C"/>
    <w:rsid w:val="009C3E85"/>
    <w:rsid w:val="009C3EB6"/>
    <w:rsid w:val="009C46A2"/>
    <w:rsid w:val="009C5A30"/>
    <w:rsid w:val="009C6E7F"/>
    <w:rsid w:val="009D260D"/>
    <w:rsid w:val="009D3A1F"/>
    <w:rsid w:val="009D58E3"/>
    <w:rsid w:val="009D6029"/>
    <w:rsid w:val="009E0A08"/>
    <w:rsid w:val="009F2937"/>
    <w:rsid w:val="009F53FA"/>
    <w:rsid w:val="009F60DC"/>
    <w:rsid w:val="00A00A2D"/>
    <w:rsid w:val="00A02AAA"/>
    <w:rsid w:val="00A0452C"/>
    <w:rsid w:val="00A11134"/>
    <w:rsid w:val="00A239DA"/>
    <w:rsid w:val="00A348B7"/>
    <w:rsid w:val="00A4207C"/>
    <w:rsid w:val="00A440A1"/>
    <w:rsid w:val="00A47C9B"/>
    <w:rsid w:val="00A61FDA"/>
    <w:rsid w:val="00A63A55"/>
    <w:rsid w:val="00A65F6C"/>
    <w:rsid w:val="00A66D29"/>
    <w:rsid w:val="00A67B8D"/>
    <w:rsid w:val="00A72817"/>
    <w:rsid w:val="00A73999"/>
    <w:rsid w:val="00A75F47"/>
    <w:rsid w:val="00A807BC"/>
    <w:rsid w:val="00A912FC"/>
    <w:rsid w:val="00A9174D"/>
    <w:rsid w:val="00AA1682"/>
    <w:rsid w:val="00AA2EF6"/>
    <w:rsid w:val="00AA6589"/>
    <w:rsid w:val="00AA7479"/>
    <w:rsid w:val="00AB1264"/>
    <w:rsid w:val="00AB294D"/>
    <w:rsid w:val="00AC3A5E"/>
    <w:rsid w:val="00AC6904"/>
    <w:rsid w:val="00AD0765"/>
    <w:rsid w:val="00AD4C8F"/>
    <w:rsid w:val="00AD5683"/>
    <w:rsid w:val="00AD5AD5"/>
    <w:rsid w:val="00AE07A3"/>
    <w:rsid w:val="00AE131D"/>
    <w:rsid w:val="00AE3416"/>
    <w:rsid w:val="00AE45C3"/>
    <w:rsid w:val="00AE5A5E"/>
    <w:rsid w:val="00AE7247"/>
    <w:rsid w:val="00AE746E"/>
    <w:rsid w:val="00AF26B8"/>
    <w:rsid w:val="00AF625C"/>
    <w:rsid w:val="00AF6B03"/>
    <w:rsid w:val="00B02017"/>
    <w:rsid w:val="00B04666"/>
    <w:rsid w:val="00B1403D"/>
    <w:rsid w:val="00B159C6"/>
    <w:rsid w:val="00B2052D"/>
    <w:rsid w:val="00B23ADC"/>
    <w:rsid w:val="00B24575"/>
    <w:rsid w:val="00B2516B"/>
    <w:rsid w:val="00B2706E"/>
    <w:rsid w:val="00B304C2"/>
    <w:rsid w:val="00B3101B"/>
    <w:rsid w:val="00B331A1"/>
    <w:rsid w:val="00B3494C"/>
    <w:rsid w:val="00B35333"/>
    <w:rsid w:val="00B367DC"/>
    <w:rsid w:val="00B37B7A"/>
    <w:rsid w:val="00B41C00"/>
    <w:rsid w:val="00B44296"/>
    <w:rsid w:val="00B4431A"/>
    <w:rsid w:val="00B4496B"/>
    <w:rsid w:val="00B46C42"/>
    <w:rsid w:val="00B52582"/>
    <w:rsid w:val="00B5614B"/>
    <w:rsid w:val="00B62125"/>
    <w:rsid w:val="00B6342F"/>
    <w:rsid w:val="00B63F67"/>
    <w:rsid w:val="00B70325"/>
    <w:rsid w:val="00B72EA4"/>
    <w:rsid w:val="00B73BB2"/>
    <w:rsid w:val="00B75233"/>
    <w:rsid w:val="00B760C7"/>
    <w:rsid w:val="00B8464D"/>
    <w:rsid w:val="00B850D3"/>
    <w:rsid w:val="00B856AC"/>
    <w:rsid w:val="00B858C5"/>
    <w:rsid w:val="00B85C58"/>
    <w:rsid w:val="00B95D32"/>
    <w:rsid w:val="00B975A4"/>
    <w:rsid w:val="00BA56F1"/>
    <w:rsid w:val="00BA6DDD"/>
    <w:rsid w:val="00BA6EF2"/>
    <w:rsid w:val="00BB0455"/>
    <w:rsid w:val="00BB443E"/>
    <w:rsid w:val="00BB5F32"/>
    <w:rsid w:val="00BB657A"/>
    <w:rsid w:val="00BB7308"/>
    <w:rsid w:val="00BC0D4B"/>
    <w:rsid w:val="00BC1DAB"/>
    <w:rsid w:val="00BC4067"/>
    <w:rsid w:val="00BC679A"/>
    <w:rsid w:val="00BD4DB4"/>
    <w:rsid w:val="00BD596C"/>
    <w:rsid w:val="00BD64AC"/>
    <w:rsid w:val="00BE1F91"/>
    <w:rsid w:val="00BE36BC"/>
    <w:rsid w:val="00BE69D8"/>
    <w:rsid w:val="00BE7130"/>
    <w:rsid w:val="00BF691D"/>
    <w:rsid w:val="00C0027B"/>
    <w:rsid w:val="00C00E9C"/>
    <w:rsid w:val="00C038CC"/>
    <w:rsid w:val="00C1306B"/>
    <w:rsid w:val="00C216CA"/>
    <w:rsid w:val="00C2527B"/>
    <w:rsid w:val="00C2594B"/>
    <w:rsid w:val="00C25C75"/>
    <w:rsid w:val="00C26456"/>
    <w:rsid w:val="00C319C2"/>
    <w:rsid w:val="00C3216D"/>
    <w:rsid w:val="00C331D0"/>
    <w:rsid w:val="00C33632"/>
    <w:rsid w:val="00C439A5"/>
    <w:rsid w:val="00C45082"/>
    <w:rsid w:val="00C50C6D"/>
    <w:rsid w:val="00C5339C"/>
    <w:rsid w:val="00C617D8"/>
    <w:rsid w:val="00C635AA"/>
    <w:rsid w:val="00C64735"/>
    <w:rsid w:val="00C70289"/>
    <w:rsid w:val="00C72F05"/>
    <w:rsid w:val="00C80AFA"/>
    <w:rsid w:val="00C816A3"/>
    <w:rsid w:val="00C8283E"/>
    <w:rsid w:val="00C839B9"/>
    <w:rsid w:val="00C84440"/>
    <w:rsid w:val="00C86D5E"/>
    <w:rsid w:val="00C92D4E"/>
    <w:rsid w:val="00C97CE3"/>
    <w:rsid w:val="00CA29EB"/>
    <w:rsid w:val="00CA5A56"/>
    <w:rsid w:val="00CB027F"/>
    <w:rsid w:val="00CB04DF"/>
    <w:rsid w:val="00CB6EAC"/>
    <w:rsid w:val="00CB753D"/>
    <w:rsid w:val="00CC1B58"/>
    <w:rsid w:val="00CC35C4"/>
    <w:rsid w:val="00CD3393"/>
    <w:rsid w:val="00CE0AE8"/>
    <w:rsid w:val="00CE1679"/>
    <w:rsid w:val="00CE4D72"/>
    <w:rsid w:val="00CF1EC5"/>
    <w:rsid w:val="00D048E7"/>
    <w:rsid w:val="00D05D03"/>
    <w:rsid w:val="00D05FFB"/>
    <w:rsid w:val="00D10576"/>
    <w:rsid w:val="00D13562"/>
    <w:rsid w:val="00D20F8C"/>
    <w:rsid w:val="00D21DAA"/>
    <w:rsid w:val="00D231A8"/>
    <w:rsid w:val="00D25F04"/>
    <w:rsid w:val="00D2675A"/>
    <w:rsid w:val="00D33470"/>
    <w:rsid w:val="00D34323"/>
    <w:rsid w:val="00D3557F"/>
    <w:rsid w:val="00D356B9"/>
    <w:rsid w:val="00D357D3"/>
    <w:rsid w:val="00D36447"/>
    <w:rsid w:val="00D37616"/>
    <w:rsid w:val="00D42207"/>
    <w:rsid w:val="00D4314C"/>
    <w:rsid w:val="00D438C0"/>
    <w:rsid w:val="00D43B67"/>
    <w:rsid w:val="00D442D9"/>
    <w:rsid w:val="00D51AA1"/>
    <w:rsid w:val="00D53561"/>
    <w:rsid w:val="00D55F77"/>
    <w:rsid w:val="00D567DB"/>
    <w:rsid w:val="00D620F6"/>
    <w:rsid w:val="00D6506E"/>
    <w:rsid w:val="00D67717"/>
    <w:rsid w:val="00D6797F"/>
    <w:rsid w:val="00D71669"/>
    <w:rsid w:val="00D73E88"/>
    <w:rsid w:val="00D77F72"/>
    <w:rsid w:val="00D8165D"/>
    <w:rsid w:val="00D826AA"/>
    <w:rsid w:val="00D82B13"/>
    <w:rsid w:val="00D863FC"/>
    <w:rsid w:val="00D866FA"/>
    <w:rsid w:val="00D90A70"/>
    <w:rsid w:val="00D95B45"/>
    <w:rsid w:val="00D97398"/>
    <w:rsid w:val="00DA00CC"/>
    <w:rsid w:val="00DA5321"/>
    <w:rsid w:val="00DB1889"/>
    <w:rsid w:val="00DB5310"/>
    <w:rsid w:val="00DC5638"/>
    <w:rsid w:val="00DC6F1E"/>
    <w:rsid w:val="00DD1747"/>
    <w:rsid w:val="00DD2149"/>
    <w:rsid w:val="00DD56E3"/>
    <w:rsid w:val="00DD61C0"/>
    <w:rsid w:val="00DD6C17"/>
    <w:rsid w:val="00DD7A05"/>
    <w:rsid w:val="00DE3212"/>
    <w:rsid w:val="00DE3693"/>
    <w:rsid w:val="00DE3F02"/>
    <w:rsid w:val="00DE57B4"/>
    <w:rsid w:val="00DE5BA4"/>
    <w:rsid w:val="00DE6C12"/>
    <w:rsid w:val="00DE7784"/>
    <w:rsid w:val="00DE7E54"/>
    <w:rsid w:val="00DF0FD2"/>
    <w:rsid w:val="00DF2525"/>
    <w:rsid w:val="00DF3DA0"/>
    <w:rsid w:val="00E0021B"/>
    <w:rsid w:val="00E00A38"/>
    <w:rsid w:val="00E02BDB"/>
    <w:rsid w:val="00E03E9B"/>
    <w:rsid w:val="00E03FB0"/>
    <w:rsid w:val="00E04811"/>
    <w:rsid w:val="00E11CDA"/>
    <w:rsid w:val="00E1495C"/>
    <w:rsid w:val="00E22F48"/>
    <w:rsid w:val="00E24C2C"/>
    <w:rsid w:val="00E27E93"/>
    <w:rsid w:val="00E311AC"/>
    <w:rsid w:val="00E31DE4"/>
    <w:rsid w:val="00E326F8"/>
    <w:rsid w:val="00E35E73"/>
    <w:rsid w:val="00E41040"/>
    <w:rsid w:val="00E43FAC"/>
    <w:rsid w:val="00E47384"/>
    <w:rsid w:val="00E50171"/>
    <w:rsid w:val="00E508DB"/>
    <w:rsid w:val="00E51135"/>
    <w:rsid w:val="00E52E33"/>
    <w:rsid w:val="00E54208"/>
    <w:rsid w:val="00E548F7"/>
    <w:rsid w:val="00E55446"/>
    <w:rsid w:val="00E63D9B"/>
    <w:rsid w:val="00E742DA"/>
    <w:rsid w:val="00E7501E"/>
    <w:rsid w:val="00E75637"/>
    <w:rsid w:val="00E77EA5"/>
    <w:rsid w:val="00E84E3F"/>
    <w:rsid w:val="00E84FEA"/>
    <w:rsid w:val="00E90621"/>
    <w:rsid w:val="00E93183"/>
    <w:rsid w:val="00E96C6D"/>
    <w:rsid w:val="00EA0FED"/>
    <w:rsid w:val="00EA1631"/>
    <w:rsid w:val="00EA5AEA"/>
    <w:rsid w:val="00EA5E94"/>
    <w:rsid w:val="00EA7BC4"/>
    <w:rsid w:val="00EB0931"/>
    <w:rsid w:val="00EB24B9"/>
    <w:rsid w:val="00EB5EB5"/>
    <w:rsid w:val="00EC3B80"/>
    <w:rsid w:val="00EC5FC5"/>
    <w:rsid w:val="00ED047F"/>
    <w:rsid w:val="00ED4EDE"/>
    <w:rsid w:val="00EE4640"/>
    <w:rsid w:val="00EE4838"/>
    <w:rsid w:val="00EF71A2"/>
    <w:rsid w:val="00F0112D"/>
    <w:rsid w:val="00F04484"/>
    <w:rsid w:val="00F05308"/>
    <w:rsid w:val="00F05F76"/>
    <w:rsid w:val="00F11E2F"/>
    <w:rsid w:val="00F12C7F"/>
    <w:rsid w:val="00F13960"/>
    <w:rsid w:val="00F15392"/>
    <w:rsid w:val="00F1749A"/>
    <w:rsid w:val="00F21CFD"/>
    <w:rsid w:val="00F22079"/>
    <w:rsid w:val="00F25909"/>
    <w:rsid w:val="00F27CB7"/>
    <w:rsid w:val="00F33954"/>
    <w:rsid w:val="00F33A00"/>
    <w:rsid w:val="00F344C3"/>
    <w:rsid w:val="00F34583"/>
    <w:rsid w:val="00F347DF"/>
    <w:rsid w:val="00F35515"/>
    <w:rsid w:val="00F357AC"/>
    <w:rsid w:val="00F362C1"/>
    <w:rsid w:val="00F36C4E"/>
    <w:rsid w:val="00F40DE7"/>
    <w:rsid w:val="00F55BAB"/>
    <w:rsid w:val="00F614AA"/>
    <w:rsid w:val="00F657B3"/>
    <w:rsid w:val="00F66665"/>
    <w:rsid w:val="00F67B68"/>
    <w:rsid w:val="00F75BD8"/>
    <w:rsid w:val="00F76B31"/>
    <w:rsid w:val="00F80F2E"/>
    <w:rsid w:val="00F83561"/>
    <w:rsid w:val="00F835D9"/>
    <w:rsid w:val="00F84C5E"/>
    <w:rsid w:val="00F8594D"/>
    <w:rsid w:val="00F86F2A"/>
    <w:rsid w:val="00F8704F"/>
    <w:rsid w:val="00F871CC"/>
    <w:rsid w:val="00F8725C"/>
    <w:rsid w:val="00F879AC"/>
    <w:rsid w:val="00F91748"/>
    <w:rsid w:val="00F928DB"/>
    <w:rsid w:val="00F93720"/>
    <w:rsid w:val="00FA29F5"/>
    <w:rsid w:val="00FA5E7C"/>
    <w:rsid w:val="00FA7D8E"/>
    <w:rsid w:val="00FB12D7"/>
    <w:rsid w:val="00FB242C"/>
    <w:rsid w:val="00FB651A"/>
    <w:rsid w:val="00FC258C"/>
    <w:rsid w:val="00FC4B37"/>
    <w:rsid w:val="00FC4EB6"/>
    <w:rsid w:val="00FC675E"/>
    <w:rsid w:val="00FC6A35"/>
    <w:rsid w:val="00FC6B02"/>
    <w:rsid w:val="00FC6EC6"/>
    <w:rsid w:val="00FC79FE"/>
    <w:rsid w:val="00FD2F54"/>
    <w:rsid w:val="00FD46F9"/>
    <w:rsid w:val="00FD5A20"/>
    <w:rsid w:val="00FD67B5"/>
    <w:rsid w:val="00FD6E1F"/>
    <w:rsid w:val="00FD7040"/>
    <w:rsid w:val="00FE0710"/>
    <w:rsid w:val="00FE1F53"/>
    <w:rsid w:val="00FE2B7E"/>
    <w:rsid w:val="00FE2D90"/>
    <w:rsid w:val="00FE3B9B"/>
    <w:rsid w:val="00FE3BDC"/>
    <w:rsid w:val="00FE3DA4"/>
    <w:rsid w:val="00FF7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6649F9A"/>
  <w15:docId w15:val="{B76481DB-834A-4BC4-83A9-66E14AE9B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D1E1A"/>
    <w:pPr>
      <w:ind w:left="1191" w:hanging="567"/>
      <w:jc w:val="both"/>
    </w:pPr>
    <w:rPr>
      <w:rFonts w:ascii="Arial" w:hAnsi="Arial"/>
      <w:sz w:val="24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6A02BB"/>
    <w:pPr>
      <w:keepNext/>
      <w:ind w:left="0" w:firstLine="0"/>
      <w:jc w:val="left"/>
      <w:outlineLvl w:val="1"/>
    </w:pPr>
    <w:rPr>
      <w:b/>
      <w:bCs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F8356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6D1E1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6D1E1A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6D1E1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6D1E1A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6D1E1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6D1E1A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8A6B6A"/>
    <w:pPr>
      <w:ind w:left="720"/>
      <w:contextualSpacing/>
    </w:pPr>
  </w:style>
  <w:style w:type="paragraph" w:styleId="Sinespaciado">
    <w:name w:val="No Spacing"/>
    <w:uiPriority w:val="1"/>
    <w:qFormat/>
    <w:rsid w:val="00A348B7"/>
    <w:rPr>
      <w:lang w:val="es-ES_tradnl"/>
    </w:rPr>
  </w:style>
  <w:style w:type="paragraph" w:styleId="Textoindependiente">
    <w:name w:val="Body Text"/>
    <w:basedOn w:val="Normal"/>
    <w:link w:val="TextoindependienteCar"/>
    <w:rsid w:val="00317085"/>
    <w:pPr>
      <w:spacing w:after="120"/>
    </w:pPr>
  </w:style>
  <w:style w:type="character" w:customStyle="1" w:styleId="TextoindependienteCar">
    <w:name w:val="Texto independiente Car"/>
    <w:link w:val="Textoindependiente"/>
    <w:rsid w:val="00317085"/>
    <w:rPr>
      <w:rFonts w:ascii="Arial" w:hAnsi="Arial"/>
      <w:sz w:val="24"/>
      <w:lang w:val="es-ES_tradnl" w:eastAsia="es-ES"/>
    </w:rPr>
  </w:style>
  <w:style w:type="paragraph" w:styleId="Textonotapie">
    <w:name w:val="footnote text"/>
    <w:basedOn w:val="Normal"/>
    <w:link w:val="TextonotapieCar"/>
    <w:rsid w:val="007F3C69"/>
    <w:pPr>
      <w:ind w:left="0" w:firstLine="0"/>
      <w:jc w:val="left"/>
    </w:pPr>
    <w:rPr>
      <w:rFonts w:ascii="Courier New" w:hAnsi="Courier New" w:cs="Courier New"/>
      <w:sz w:val="20"/>
      <w:lang w:val="es-ES"/>
    </w:rPr>
  </w:style>
  <w:style w:type="character" w:customStyle="1" w:styleId="TextonotapieCar">
    <w:name w:val="Texto nota pie Car"/>
    <w:link w:val="Textonotapie"/>
    <w:rsid w:val="007F3C69"/>
    <w:rPr>
      <w:rFonts w:ascii="Courier New" w:hAnsi="Courier New" w:cs="Courier New"/>
      <w:lang w:val="es-ES" w:eastAsia="es-ES"/>
    </w:rPr>
  </w:style>
  <w:style w:type="character" w:styleId="Refdenotaalpie">
    <w:name w:val="footnote reference"/>
    <w:uiPriority w:val="99"/>
    <w:unhideWhenUsed/>
    <w:rsid w:val="007F3C69"/>
    <w:rPr>
      <w:vertAlign w:val="superscript"/>
    </w:rPr>
  </w:style>
  <w:style w:type="paragraph" w:customStyle="1" w:styleId="Default">
    <w:name w:val="Default"/>
    <w:rsid w:val="00062B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CO" w:eastAsia="es-CO"/>
    </w:rPr>
  </w:style>
  <w:style w:type="character" w:customStyle="1" w:styleId="Ttulo2Car">
    <w:name w:val="Título 2 Car"/>
    <w:link w:val="Ttulo2"/>
    <w:rsid w:val="006A02BB"/>
    <w:rPr>
      <w:rFonts w:ascii="Arial" w:hAnsi="Arial"/>
      <w:b/>
      <w:bCs/>
      <w:sz w:val="24"/>
      <w:lang w:val="es-ES_tradnl" w:eastAsia="es-ES"/>
    </w:rPr>
  </w:style>
  <w:style w:type="paragraph" w:styleId="Textoindependiente2">
    <w:name w:val="Body Text 2"/>
    <w:basedOn w:val="Normal"/>
    <w:link w:val="Textoindependiente2Car"/>
    <w:unhideWhenUsed/>
    <w:rsid w:val="001D21F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rsid w:val="001D21FB"/>
    <w:rPr>
      <w:rFonts w:ascii="Arial" w:hAnsi="Arial"/>
      <w:sz w:val="24"/>
      <w:lang w:val="es-ES_tradnl" w:eastAsia="es-ES"/>
    </w:rPr>
  </w:style>
  <w:style w:type="character" w:styleId="Refdecomentario">
    <w:name w:val="annotation reference"/>
    <w:rsid w:val="00F83561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F83561"/>
    <w:rPr>
      <w:sz w:val="20"/>
    </w:rPr>
  </w:style>
  <w:style w:type="character" w:customStyle="1" w:styleId="TextocomentarioCar">
    <w:name w:val="Texto comentario Car"/>
    <w:link w:val="Textocomentario"/>
    <w:rsid w:val="00F83561"/>
    <w:rPr>
      <w:rFonts w:ascii="Arial" w:hAnsi="Arial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F83561"/>
    <w:rPr>
      <w:b/>
      <w:bCs/>
    </w:rPr>
  </w:style>
  <w:style w:type="character" w:customStyle="1" w:styleId="AsuntodelcomentarioCar">
    <w:name w:val="Asunto del comentario Car"/>
    <w:link w:val="Asuntodelcomentario"/>
    <w:rsid w:val="00F83561"/>
    <w:rPr>
      <w:rFonts w:ascii="Arial" w:hAnsi="Arial"/>
      <w:b/>
      <w:bCs/>
      <w:lang w:val="es-ES_tradnl" w:eastAsia="es-ES"/>
    </w:rPr>
  </w:style>
  <w:style w:type="character" w:customStyle="1" w:styleId="Ttulo3Car">
    <w:name w:val="Título 3 Car"/>
    <w:link w:val="Ttulo3"/>
    <w:semiHidden/>
    <w:rsid w:val="00F83561"/>
    <w:rPr>
      <w:rFonts w:ascii="Cambria" w:eastAsia="Times New Roman" w:hAnsi="Cambria" w:cs="Times New Roman"/>
      <w:b/>
      <w:bCs/>
      <w:color w:val="4F81BD"/>
      <w:sz w:val="24"/>
      <w:lang w:val="es-ES_tradnl" w:eastAsia="es-ES"/>
    </w:rPr>
  </w:style>
  <w:style w:type="character" w:customStyle="1" w:styleId="highlight">
    <w:name w:val="highlight"/>
    <w:basedOn w:val="Fuentedeprrafopredeter"/>
    <w:rsid w:val="00C70289"/>
  </w:style>
  <w:style w:type="table" w:styleId="Tablaconcuadrcula">
    <w:name w:val="Table Grid"/>
    <w:basedOn w:val="Tablanormal"/>
    <w:rsid w:val="00F870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detextonormal">
    <w:name w:val="Body Text Indent"/>
    <w:basedOn w:val="Normal"/>
    <w:link w:val="SangradetextonormalCar"/>
    <w:semiHidden/>
    <w:unhideWhenUsed/>
    <w:rsid w:val="00DA5321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DA5321"/>
    <w:rPr>
      <w:rFonts w:ascii="Arial" w:hAnsi="Arial"/>
      <w:sz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1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3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2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7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1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3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8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5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1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2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6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0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6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0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1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9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3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7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9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5748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1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8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6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9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6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3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4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586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8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77825B6E2C29418DF216B58B43C1A6" ma:contentTypeVersion="13" ma:contentTypeDescription="Create a new document." ma:contentTypeScope="" ma:versionID="9d82c6780b930829ebd06479d13584f2">
  <xsd:schema xmlns:xsd="http://www.w3.org/2001/XMLSchema" xmlns:xs="http://www.w3.org/2001/XMLSchema" xmlns:p="http://schemas.microsoft.com/office/2006/metadata/properties" xmlns:ns3="54b818d3-05c4-4b35-82dd-4f99ede8ce9c" xmlns:ns4="050c0254-2c8b-423d-8242-8693071aa40c" targetNamespace="http://schemas.microsoft.com/office/2006/metadata/properties" ma:root="true" ma:fieldsID="007f610cc174f9c5c8a9b4adc6d732c0" ns3:_="" ns4:_="">
    <xsd:import namespace="54b818d3-05c4-4b35-82dd-4f99ede8ce9c"/>
    <xsd:import namespace="050c0254-2c8b-423d-8242-8693071aa40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b818d3-05c4-4b35-82dd-4f99ede8ce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0c0254-2c8b-423d-8242-8693071aa40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CCC29-D2EA-45AA-BCF7-50CFBE3A25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b818d3-05c4-4b35-82dd-4f99ede8ce9c"/>
    <ds:schemaRef ds:uri="050c0254-2c8b-423d-8242-8693071aa4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4603D5-2876-4E56-B0BF-64775AE726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703DE7-639E-4B5C-B4C0-00A014D443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BC5B3E8-E3EF-4342-A1F0-9057DB370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635</Words>
  <Characters>3299</Characters>
  <Application>Microsoft Office Word</Application>
  <DocSecurity>0</DocSecurity>
  <Lines>27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Superintendencia Financiera de Colombia</Company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Ida Maria Carolina Mestre Ordoñez</dc:creator>
  <cp:lastModifiedBy>Gabriel Armando Ospina Garcia</cp:lastModifiedBy>
  <cp:revision>5</cp:revision>
  <cp:lastPrinted>2016-10-31T14:04:00Z</cp:lastPrinted>
  <dcterms:created xsi:type="dcterms:W3CDTF">2021-03-09T13:14:00Z</dcterms:created>
  <dcterms:modified xsi:type="dcterms:W3CDTF">2021-03-10T13:24:00Z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0x0101009A77825B6E2C29418DF216B58B43C1A6</vt:lpwstr>
  </property>
</Properties>
</file>